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0720" w:rsidR="00206C21" w:rsidRDefault="00EB5B98" w14:paraId="675F6AB8" w14:textId="77777777">
      <w:pPr>
        <w:rPr>
          <w:rFonts w:ascii="Arial" w:hAnsi="Arial"/>
        </w:rPr>
      </w:pPr>
      <w:r w:rsidRPr="00B80720">
        <w:rPr>
          <w:rStyle w:val="StrongEmphasis"/>
          <w:rFonts w:ascii="Arial" w:hAnsi="Arial"/>
          <w:b w:val="0"/>
          <w:bCs w:val="0"/>
        </w:rPr>
        <w:t>Adresse:</w:t>
      </w:r>
    </w:p>
    <w:p w:rsidRPr="00B80720" w:rsidR="00206C21" w:rsidRDefault="00206C21" w14:paraId="528DF1D4" w14:textId="77777777">
      <w:pPr>
        <w:rPr>
          <w:rFonts w:ascii="Arial" w:hAnsi="Arial"/>
        </w:rPr>
      </w:pPr>
    </w:p>
    <w:p w:rsidRPr="00B80720" w:rsidR="00206C21" w:rsidRDefault="00EB5B98" w14:paraId="2A833BD1" w14:textId="77777777">
      <w:pPr>
        <w:spacing w:before="180" w:after="240"/>
        <w:rPr>
          <w:rFonts w:ascii="Arial" w:hAnsi="Arial"/>
        </w:rPr>
      </w:pPr>
      <w:r w:rsidRPr="00B80720">
        <w:rPr>
          <w:rFonts w:ascii="Arial" w:hAnsi="Arial"/>
        </w:rPr>
        <w:t>An die</w:t>
      </w:r>
      <w:r w:rsidRPr="00B80720">
        <w:rPr>
          <w:rFonts w:ascii="Arial" w:hAnsi="Arial"/>
        </w:rPr>
        <w:br/>
      </w:r>
      <w:r w:rsidRPr="00B80720">
        <w:rPr>
          <w:rFonts w:ascii="Arial" w:hAnsi="Arial"/>
        </w:rPr>
        <w:t>Regionale Planungsgemeinschaft Südwestthüringen</w:t>
      </w:r>
      <w:r w:rsidRPr="00B80720">
        <w:rPr>
          <w:rFonts w:ascii="Arial" w:hAnsi="Arial"/>
        </w:rPr>
        <w:br/>
      </w:r>
      <w:r w:rsidRPr="00B80720">
        <w:rPr>
          <w:rFonts w:ascii="Arial" w:hAnsi="Arial"/>
        </w:rPr>
        <w:t>– Leitstelle –</w:t>
      </w:r>
      <w:r w:rsidRPr="00B80720">
        <w:rPr>
          <w:rFonts w:ascii="Arial" w:hAnsi="Arial"/>
        </w:rPr>
        <w:br/>
      </w:r>
      <w:r w:rsidRPr="00B80720">
        <w:rPr>
          <w:rFonts w:ascii="Arial" w:hAnsi="Arial"/>
        </w:rPr>
        <w:t>Bahnhofstraße 22</w:t>
      </w:r>
      <w:r w:rsidRPr="00B80720">
        <w:rPr>
          <w:rFonts w:ascii="Arial" w:hAnsi="Arial"/>
        </w:rPr>
        <w:br/>
      </w:r>
      <w:r w:rsidRPr="00B80720">
        <w:rPr>
          <w:rFonts w:ascii="Arial" w:hAnsi="Arial"/>
        </w:rPr>
        <w:t>98527 Suhl</w:t>
      </w:r>
    </w:p>
    <w:p w:rsidRPr="00B80720" w:rsidR="00206C21" w:rsidRDefault="00EB5B98" w14:paraId="079A86B0" w14:textId="77777777">
      <w:pPr>
        <w:rPr>
          <w:rFonts w:ascii="Arial" w:hAnsi="Arial"/>
        </w:rPr>
      </w:pPr>
      <w:r w:rsidRPr="00B80720">
        <w:rPr>
          <w:rStyle w:val="StrongEmphasis"/>
          <w:rFonts w:ascii="Arial" w:hAnsi="Arial"/>
        </w:rPr>
        <w:t>Stellungnahme zum Entwurf des Regionalplans – Windvorranggebiet W-29 Breitberg (Zeilfeld)</w:t>
      </w:r>
    </w:p>
    <w:p w:rsidRPr="00B80720" w:rsidR="00206C21" w:rsidRDefault="00206C21" w14:paraId="4E2DC589" w14:textId="77777777">
      <w:pPr>
        <w:rPr>
          <w:rFonts w:ascii="Arial" w:hAnsi="Arial"/>
        </w:rPr>
      </w:pPr>
    </w:p>
    <w:p w:rsidRPr="00B80720" w:rsidR="00206C21" w:rsidRDefault="00EB5B98" w14:paraId="4CFFEA11" w14:textId="77777777">
      <w:pPr>
        <w:rPr>
          <w:rFonts w:ascii="Arial" w:hAnsi="Arial"/>
        </w:rPr>
      </w:pPr>
      <w:r w:rsidRPr="00B80720">
        <w:rPr>
          <w:rStyle w:val="StrongEmphasis"/>
          <w:rFonts w:ascii="Arial" w:hAnsi="Arial"/>
        </w:rPr>
        <w:t xml:space="preserve">Betreff: Einwendung gegen die </w:t>
      </w:r>
      <w:r w:rsidRPr="00B80720">
        <w:rPr>
          <w:rStyle w:val="StrongEmphasis"/>
          <w:rFonts w:ascii="Arial" w:hAnsi="Arial"/>
        </w:rPr>
        <w:t>Ausweisung des Windvorranggebietes W29 Breitberg (Gemeinde Zeilfeld)</w:t>
      </w:r>
    </w:p>
    <w:p w:rsidRPr="00B80720" w:rsidR="00206C21" w:rsidRDefault="00206C21" w14:paraId="10C36B17" w14:textId="77777777">
      <w:pPr>
        <w:rPr>
          <w:rFonts w:ascii="Arial" w:hAnsi="Arial"/>
        </w:rPr>
      </w:pPr>
    </w:p>
    <w:p w:rsidRPr="00B80720" w:rsidR="00206C21" w:rsidRDefault="00EB5B98" w14:paraId="33F00DD3" w14:textId="388155E0">
      <w:pPr>
        <w:rPr>
          <w:rFonts w:ascii="Arial" w:hAnsi="Arial"/>
        </w:rPr>
      </w:pPr>
      <w:r w:rsidRPr="00B80720">
        <w:rPr>
          <w:rFonts w:ascii="Arial" w:hAnsi="Arial"/>
        </w:rPr>
        <w:t xml:space="preserve">Hiermit nehme ich fristgerecht zum vorgeschlagenen Windvorranggebiet </w:t>
      </w:r>
      <w:r w:rsidRPr="00B80720">
        <w:rPr>
          <w:rStyle w:val="StrongEmphasis"/>
          <w:rFonts w:ascii="Arial" w:hAnsi="Arial"/>
        </w:rPr>
        <w:t>W29 Breitberg</w:t>
      </w:r>
      <w:r w:rsidRPr="00B80720">
        <w:rPr>
          <w:rFonts w:ascii="Arial" w:hAnsi="Arial"/>
        </w:rPr>
        <w:t xml:space="preserve"> in der Gemeinde </w:t>
      </w:r>
      <w:r w:rsidRPr="00B80720" w:rsidR="00B80720">
        <w:rPr>
          <w:rFonts w:ascii="Arial" w:hAnsi="Arial"/>
        </w:rPr>
        <w:t>Zeilfeld</w:t>
      </w:r>
      <w:r w:rsidRPr="00B80720">
        <w:rPr>
          <w:rFonts w:ascii="Arial" w:hAnsi="Arial"/>
        </w:rPr>
        <w:t xml:space="preserve"> Stellung. Ich äußere erhebliche Bedenken gegen die Ausweisung dieser Fläche und fordere den vollständigen Ausschluss des Gebiets aus der finalen Regionalplanung. Meine Einwände begründe ich mit den nachfolgenden schwerwiegenden Konflikten in den Bereichen Brandschutz, Artenschutz, Bodenschutz und Denkmalschutz.</w:t>
      </w:r>
    </w:p>
    <w:p w:rsidRPr="00B80720" w:rsidR="00206C21" w:rsidRDefault="00206C21" w14:paraId="1B4F2189" w14:textId="77777777">
      <w:pPr>
        <w:pStyle w:val="HorizontalLine"/>
        <w:spacing w:after="0"/>
        <w:rPr>
          <w:rFonts w:ascii="Arial" w:hAnsi="Arial"/>
          <w:sz w:val="24"/>
          <w:szCs w:val="24"/>
        </w:rPr>
      </w:pPr>
    </w:p>
    <w:p w:rsidRPr="00B80720" w:rsidR="00206C21" w:rsidRDefault="00EB5B98" w14:paraId="45C63BFE" w14:textId="77777777">
      <w:pPr>
        <w:pStyle w:val="Textbody"/>
        <w:spacing w:before="360" w:after="180"/>
        <w:rPr>
          <w:rFonts w:ascii="Arial" w:hAnsi="Arial"/>
          <w:b/>
        </w:rPr>
      </w:pPr>
      <w:r w:rsidRPr="00B80720">
        <w:rPr>
          <w:rFonts w:ascii="Arial" w:hAnsi="Arial"/>
          <w:b/>
        </w:rPr>
        <w:t xml:space="preserve">1. Brandschutz und Katastrophenschutz: Unbeherrschbare Brandrisiken und eklatanter Verstoß gegen das </w:t>
      </w:r>
      <w:proofErr w:type="spellStart"/>
      <w:r w:rsidRPr="00B80720">
        <w:rPr>
          <w:rFonts w:ascii="Arial" w:hAnsi="Arial"/>
          <w:b/>
        </w:rPr>
        <w:t>ThürBKG</w:t>
      </w:r>
      <w:proofErr w:type="spellEnd"/>
    </w:p>
    <w:p w:rsidR="00206C21" w:rsidRDefault="00EB5B98" w14:paraId="60F85417" w14:textId="77777777">
      <w:pPr>
        <w:pStyle w:val="Textbody"/>
        <w:spacing w:after="0"/>
        <w:rPr>
          <w:rFonts w:ascii="Arial" w:hAnsi="Arial"/>
        </w:rPr>
      </w:pPr>
      <w:r w:rsidRPr="00B80720">
        <w:rPr>
          <w:rFonts w:ascii="Arial" w:hAnsi="Arial"/>
        </w:rPr>
        <w:t xml:space="preserve">Die Ausweisung des Windvorranggebietes W29 Breitberg führt zu einer unkalkulierbaren Erhöhung des Brandrisikos in einer exponierten Waldlandschaft. Der Bau und Betrieb von industriellen Großanlagen (Windkraftanlagen, kurz WKA) dieser Dimension verstößt an diesem konkreten Standort eklatant gegen die Schutzziele und Pflichtaufgaben des </w:t>
      </w:r>
      <w:r w:rsidRPr="00B80720">
        <w:rPr>
          <w:rStyle w:val="StrongEmphasis"/>
          <w:rFonts w:ascii="Arial" w:hAnsi="Arial"/>
        </w:rPr>
        <w:t xml:space="preserve">Thüringer Gesetzes über den Brandschutz, die Allgemeine Hilfe und den Katastrophenschutz (Thüringer Brand- und Katastrophenschutzgesetz - </w:t>
      </w:r>
      <w:proofErr w:type="spellStart"/>
      <w:r w:rsidRPr="00B80720">
        <w:rPr>
          <w:rStyle w:val="StrongEmphasis"/>
          <w:rFonts w:ascii="Arial" w:hAnsi="Arial"/>
        </w:rPr>
        <w:t>ThürBKG</w:t>
      </w:r>
      <w:proofErr w:type="spellEnd"/>
      <w:r w:rsidRPr="00B80720">
        <w:rPr>
          <w:rStyle w:val="StrongEmphasis"/>
          <w:rFonts w:ascii="Arial" w:hAnsi="Arial"/>
        </w:rPr>
        <w:t>)</w:t>
      </w:r>
      <w:r w:rsidRPr="00B80720">
        <w:rPr>
          <w:rFonts w:ascii="Arial" w:hAnsi="Arial"/>
        </w:rPr>
        <w:t xml:space="preserve"> sowie gegen das </w:t>
      </w:r>
      <w:r w:rsidRPr="00B80720">
        <w:rPr>
          <w:rStyle w:val="StrongEmphasis"/>
          <w:rFonts w:ascii="Arial" w:hAnsi="Arial"/>
        </w:rPr>
        <w:t>Thüringer Waldgesetz (</w:t>
      </w:r>
      <w:proofErr w:type="spellStart"/>
      <w:r w:rsidRPr="00B80720">
        <w:rPr>
          <w:rStyle w:val="StrongEmphasis"/>
          <w:rFonts w:ascii="Arial" w:hAnsi="Arial"/>
        </w:rPr>
        <w:t>ThürWaldG</w:t>
      </w:r>
      <w:proofErr w:type="spellEnd"/>
      <w:r w:rsidRPr="00B80720">
        <w:rPr>
          <w:rStyle w:val="StrongEmphasis"/>
          <w:rFonts w:ascii="Arial" w:hAnsi="Arial"/>
        </w:rPr>
        <w:t>)</w:t>
      </w:r>
      <w:r w:rsidRPr="00B80720">
        <w:rPr>
          <w:rFonts w:ascii="Arial" w:hAnsi="Arial"/>
        </w:rPr>
        <w:t>.</w:t>
      </w:r>
    </w:p>
    <w:p w:rsidRPr="00B80720" w:rsidR="00B80720" w:rsidRDefault="00B80720" w14:paraId="51BBE329" w14:textId="77777777">
      <w:pPr>
        <w:pStyle w:val="Textbody"/>
        <w:spacing w:after="0"/>
        <w:rPr>
          <w:rFonts w:ascii="Arial" w:hAnsi="Arial"/>
        </w:rPr>
      </w:pPr>
    </w:p>
    <w:p w:rsidR="00B80720" w:rsidP="00B80720" w:rsidRDefault="00EB5B98" w14:paraId="0696F42A" w14:textId="77777777">
      <w:pPr>
        <w:pStyle w:val="Textbody"/>
        <w:numPr>
          <w:ilvl w:val="0"/>
          <w:numId w:val="5"/>
        </w:numPr>
        <w:spacing w:after="0"/>
        <w:ind w:left="284" w:hanging="294"/>
        <w:rPr>
          <w:rFonts w:ascii="Arial" w:hAnsi="Arial"/>
        </w:rPr>
      </w:pPr>
      <w:r w:rsidRPr="00B80720">
        <w:rPr>
          <w:rStyle w:val="StrongEmphasis"/>
          <w:rFonts w:ascii="Arial" w:hAnsi="Arial"/>
        </w:rPr>
        <w:t xml:space="preserve">Verstoß gegen die Gewährleistungspflicht der Gemeinde (§ 3 Abs. 1 </w:t>
      </w:r>
      <w:proofErr w:type="spellStart"/>
      <w:r w:rsidRPr="00B80720">
        <w:rPr>
          <w:rStyle w:val="StrongEmphasis"/>
          <w:rFonts w:ascii="Arial" w:hAnsi="Arial"/>
        </w:rPr>
        <w:t>ThürBKG</w:t>
      </w:r>
      <w:proofErr w:type="spellEnd"/>
      <w:r w:rsidRPr="00B80720">
        <w:rPr>
          <w:rStyle w:val="StrongEmphasis"/>
          <w:rFonts w:ascii="Arial" w:hAnsi="Arial"/>
        </w:rPr>
        <w:t>):</w:t>
      </w:r>
      <w:r w:rsidRPr="00B80720">
        <w:rPr>
          <w:rFonts w:ascii="Arial" w:hAnsi="Arial"/>
        </w:rPr>
        <w:t xml:space="preserve"> </w:t>
      </w:r>
    </w:p>
    <w:p w:rsidRPr="00B80720" w:rsidR="00206C21" w:rsidP="00B80720" w:rsidRDefault="00EB5B98" w14:paraId="31BEE7DF" w14:textId="30068E89">
      <w:pPr>
        <w:pStyle w:val="Textbody"/>
        <w:spacing w:after="0"/>
        <w:rPr>
          <w:rFonts w:ascii="Arial" w:hAnsi="Arial"/>
        </w:rPr>
      </w:pPr>
      <w:r w:rsidRPr="00B80720">
        <w:rPr>
          <w:rFonts w:ascii="Arial" w:hAnsi="Arial"/>
        </w:rPr>
        <w:t xml:space="preserve">Nach § 3 Abs. 1 </w:t>
      </w:r>
      <w:proofErr w:type="spellStart"/>
      <w:r w:rsidRPr="00B80720">
        <w:rPr>
          <w:rFonts w:ascii="Arial" w:hAnsi="Arial"/>
        </w:rPr>
        <w:t>ThürBKG</w:t>
      </w:r>
      <w:proofErr w:type="spellEnd"/>
      <w:r w:rsidRPr="00B80720">
        <w:rPr>
          <w:rFonts w:ascii="Arial" w:hAnsi="Arial"/>
        </w:rPr>
        <w:t xml:space="preserve"> sind die Gemeinden verpflichtet, eine den örtlichen Verhältnissen entsprechende leistungsfähige Feuerwehr aufzustellen, auszurüsten und zu unterhalten, um Brandgefahren effektiv abzuwehren. Moderne WKA erreichen Gesamthöhen von bis zu 250 Metern. Die Drehleitern und Löschfahrzeuge der lokalen Freiwilligen Feuerwehren in </w:t>
      </w:r>
      <w:r w:rsidR="00B80720">
        <w:rPr>
          <w:rFonts w:ascii="Arial" w:hAnsi="Arial"/>
        </w:rPr>
        <w:t>der Stadt Römhild</w:t>
      </w:r>
      <w:r w:rsidRPr="00B80720">
        <w:rPr>
          <w:rFonts w:ascii="Arial" w:hAnsi="Arial"/>
        </w:rPr>
        <w:t xml:space="preserve"> und den umliegenden Gemeinden sind technisch maximal für Rettungshöhen von 23 bis 30 Metern ausgelegt. Eine Brandbekämpfung im Bereich des Maschinenhauses oder der Rotoren ist für die kommunale Feuerwehr unmöglich. Die Feuerwehr ist bei einem Anlagenbrand gezwungen, die WKA kontrolliert abbrennen zu lassen. Durch diese </w:t>
      </w:r>
      <w:proofErr w:type="spellStart"/>
      <w:r w:rsidRPr="00B80720">
        <w:rPr>
          <w:rFonts w:ascii="Arial" w:hAnsi="Arial"/>
        </w:rPr>
        <w:t>Unlöschbarkeit</w:t>
      </w:r>
      <w:proofErr w:type="spellEnd"/>
      <w:r w:rsidRPr="00B80720">
        <w:rPr>
          <w:rFonts w:ascii="Arial" w:hAnsi="Arial"/>
        </w:rPr>
        <w:t xml:space="preserve"> der Anlagen kann die Gemeinde ihre gesetzliche Schutzpflicht gemäß § 3 </w:t>
      </w:r>
      <w:proofErr w:type="spellStart"/>
      <w:r w:rsidRPr="00B80720">
        <w:rPr>
          <w:rFonts w:ascii="Arial" w:hAnsi="Arial"/>
        </w:rPr>
        <w:t>ThürBKG</w:t>
      </w:r>
      <w:proofErr w:type="spellEnd"/>
      <w:r w:rsidRPr="00B80720">
        <w:rPr>
          <w:rFonts w:ascii="Arial" w:hAnsi="Arial"/>
        </w:rPr>
        <w:t xml:space="preserve"> am Breitberg strukturell nicht mehr erfüllen.</w:t>
      </w:r>
    </w:p>
    <w:p w:rsidR="00B80720" w:rsidP="00B80720" w:rsidRDefault="00EB5B98" w14:paraId="0C66BEAB" w14:textId="77777777">
      <w:pPr>
        <w:pStyle w:val="Textbody"/>
        <w:numPr>
          <w:ilvl w:val="0"/>
          <w:numId w:val="5"/>
        </w:numPr>
        <w:spacing w:after="0"/>
        <w:ind w:left="284" w:hanging="294"/>
        <w:rPr>
          <w:rFonts w:ascii="Arial" w:hAnsi="Arial"/>
        </w:rPr>
      </w:pPr>
      <w:r w:rsidRPr="00B80720">
        <w:rPr>
          <w:rStyle w:val="StrongEmphasis"/>
          <w:rFonts w:ascii="Arial" w:hAnsi="Arial"/>
        </w:rPr>
        <w:t>Das Szenario des brennenden Trümmerflugs im Wald und in der Landschaft:</w:t>
      </w:r>
    </w:p>
    <w:p w:rsidRPr="00B80720" w:rsidR="00206C21" w:rsidP="00B80720" w:rsidRDefault="00B80720" w14:paraId="03D236F9" w14:textId="02B59D78">
      <w:pPr>
        <w:pStyle w:val="Textbody"/>
        <w:spacing w:after="0"/>
        <w:rPr>
          <w:rFonts w:ascii="Arial" w:hAnsi="Arial"/>
        </w:rPr>
      </w:pPr>
      <w:r>
        <w:rPr>
          <w:rFonts w:ascii="Arial" w:hAnsi="Arial"/>
        </w:rPr>
        <w:t>R</w:t>
      </w:r>
      <w:r w:rsidRPr="00B80720" w:rsidR="00EB5B98">
        <w:rPr>
          <w:rFonts w:ascii="Arial" w:hAnsi="Arial"/>
        </w:rPr>
        <w:t xml:space="preserve">otorblätter moderner WKA bestehen aus hochbrennbaren Verbundstoffen (glasfaserverstärkte Kunststoffe, Epoxidharze) und teilweise Balsaholz. Bei einem technischen Defekt, einer Havarie oder einem Blitzeinschlag kommt es zum Absturz brennender, teils kilometerweit fliegender Trümmerteile. Durch die exponierte Höhenlage des Breitbergs greifen Winde die brennenden Trümmer auf. Sie wirken wie Brandbeschleuniger und tragen das Feuer rasant über weite Strecken (sogenannter </w:t>
      </w:r>
      <w:r w:rsidRPr="00B80720" w:rsidR="00EB5B98">
        <w:rPr>
          <w:rFonts w:ascii="Arial" w:hAnsi="Arial"/>
        </w:rPr>
        <w:lastRenderedPageBreak/>
        <w:t>Feuerflug) in die umliegenden Waldflächen</w:t>
      </w:r>
      <w:r w:rsidRPr="00B80720" w:rsidR="00EB5B98">
        <w:rPr>
          <w:rFonts w:ascii="Arial" w:hAnsi="Arial"/>
        </w:rPr>
        <w:t xml:space="preserve"> (Szenario A) sowie in die offene Trockenrasen- und Agrarlandschaft (Szenario B).</w:t>
      </w:r>
    </w:p>
    <w:p w:rsidR="00B80720" w:rsidP="00B80720" w:rsidRDefault="00EB5B98" w14:paraId="6951AF32" w14:textId="77777777">
      <w:pPr>
        <w:pStyle w:val="Textbody"/>
        <w:numPr>
          <w:ilvl w:val="0"/>
          <w:numId w:val="5"/>
        </w:numPr>
        <w:spacing w:after="0"/>
        <w:ind w:left="284" w:hanging="294"/>
        <w:rPr>
          <w:rFonts w:ascii="Arial" w:hAnsi="Arial"/>
        </w:rPr>
      </w:pPr>
      <w:r w:rsidRPr="00B80720">
        <w:rPr>
          <w:rStyle w:val="StrongEmphasis"/>
          <w:rFonts w:ascii="Arial" w:hAnsi="Arial"/>
        </w:rPr>
        <w:t xml:space="preserve">Akute Gefährdung von Ortschaften und der Bevölkerung (§ 1 Abs. 1 </w:t>
      </w:r>
      <w:proofErr w:type="spellStart"/>
      <w:r w:rsidRPr="00B80720">
        <w:rPr>
          <w:rStyle w:val="StrongEmphasis"/>
          <w:rFonts w:ascii="Arial" w:hAnsi="Arial"/>
        </w:rPr>
        <w:t>ThürBKG</w:t>
      </w:r>
      <w:proofErr w:type="spellEnd"/>
      <w:r w:rsidRPr="00B80720">
        <w:rPr>
          <w:rStyle w:val="StrongEmphasis"/>
          <w:rFonts w:ascii="Arial" w:hAnsi="Arial"/>
        </w:rPr>
        <w:t>):</w:t>
      </w:r>
      <w:r w:rsidRPr="00B80720">
        <w:rPr>
          <w:rFonts w:ascii="Arial" w:hAnsi="Arial"/>
        </w:rPr>
        <w:t xml:space="preserve"> </w:t>
      </w:r>
    </w:p>
    <w:p w:rsidRPr="00B80720" w:rsidR="00206C21" w:rsidP="00B80720" w:rsidRDefault="00EB5B98" w14:paraId="3293A395" w14:textId="322C51FA">
      <w:pPr>
        <w:pStyle w:val="Textbody"/>
        <w:spacing w:after="0"/>
        <w:rPr>
          <w:rFonts w:ascii="Arial" w:hAnsi="Arial"/>
        </w:rPr>
      </w:pPr>
      <w:r w:rsidRPr="00B80720">
        <w:rPr>
          <w:rFonts w:ascii="Arial" w:hAnsi="Arial"/>
        </w:rPr>
        <w:t xml:space="preserve">Das oberste Gesetz des Katastrophenschutzes ist der Schutz von Leben, Gesundheit und Eigentum der Bürger (§ 1 Abs. 1 </w:t>
      </w:r>
      <w:proofErr w:type="spellStart"/>
      <w:r w:rsidRPr="00B80720">
        <w:rPr>
          <w:rFonts w:ascii="Arial" w:hAnsi="Arial"/>
        </w:rPr>
        <w:t>ThürBKG</w:t>
      </w:r>
      <w:proofErr w:type="spellEnd"/>
      <w:r w:rsidRPr="00B80720">
        <w:rPr>
          <w:rFonts w:ascii="Arial" w:hAnsi="Arial"/>
        </w:rPr>
        <w:t xml:space="preserve">). Durch die topographische Lage und die vorherrschenden Windverhältnisse besteht die reale Gefahr, dass ein am Breitberg entfachter Wald- oder Flächenbrand durch starken Wind unkontrolliert und mit hoher Geschwindigkeit direkt in die Ortslage </w:t>
      </w:r>
      <w:r w:rsidR="00B80720">
        <w:rPr>
          <w:rFonts w:ascii="Arial" w:hAnsi="Arial"/>
        </w:rPr>
        <w:t xml:space="preserve">Zeilfeld, </w:t>
      </w:r>
      <w:proofErr w:type="spellStart"/>
      <w:r w:rsidRPr="00B80720">
        <w:rPr>
          <w:rFonts w:ascii="Arial" w:hAnsi="Arial"/>
        </w:rPr>
        <w:t>Dingsleben</w:t>
      </w:r>
      <w:proofErr w:type="spellEnd"/>
      <w:r w:rsidRPr="00B80720">
        <w:rPr>
          <w:rFonts w:ascii="Arial" w:hAnsi="Arial"/>
        </w:rPr>
        <w:t xml:space="preserve"> </w:t>
      </w:r>
      <w:r w:rsidR="00B80720">
        <w:rPr>
          <w:rFonts w:ascii="Arial" w:hAnsi="Arial"/>
        </w:rPr>
        <w:t xml:space="preserve">und Reurieth </w:t>
      </w:r>
      <w:r w:rsidRPr="00B80720">
        <w:rPr>
          <w:rFonts w:ascii="Arial" w:hAnsi="Arial"/>
        </w:rPr>
        <w:t>getrieben wird. Dies stellt ein unkalkulierbares Katastrophenszenario dar, das die Kapazitäten der örtlichen Gefahrenabwehr sprengt.</w:t>
      </w:r>
    </w:p>
    <w:p w:rsidR="00B80720" w:rsidP="00B80720" w:rsidRDefault="00EB5B98" w14:paraId="6D27DDFF" w14:textId="77777777">
      <w:pPr>
        <w:pStyle w:val="Textbody"/>
        <w:numPr>
          <w:ilvl w:val="0"/>
          <w:numId w:val="5"/>
        </w:numPr>
        <w:spacing w:after="0"/>
        <w:ind w:left="284" w:hanging="294"/>
        <w:rPr>
          <w:rFonts w:ascii="Arial" w:hAnsi="Arial"/>
        </w:rPr>
      </w:pPr>
      <w:r w:rsidRPr="00B80720">
        <w:rPr>
          <w:rStyle w:val="StrongEmphasis"/>
          <w:rFonts w:ascii="Arial" w:hAnsi="Arial"/>
        </w:rPr>
        <w:t xml:space="preserve">Kollision mit den Pflichten zum Waldbrandschutz (§ 12 Abs. 7 </w:t>
      </w:r>
      <w:proofErr w:type="spellStart"/>
      <w:r w:rsidRPr="00B80720">
        <w:rPr>
          <w:rStyle w:val="StrongEmphasis"/>
          <w:rFonts w:ascii="Arial" w:hAnsi="Arial"/>
        </w:rPr>
        <w:t>ThürWaldG</w:t>
      </w:r>
      <w:proofErr w:type="spellEnd"/>
      <w:r w:rsidRPr="00B80720">
        <w:rPr>
          <w:rStyle w:val="StrongEmphasis"/>
          <w:rFonts w:ascii="Arial" w:hAnsi="Arial"/>
        </w:rPr>
        <w:t>):</w:t>
      </w:r>
      <w:r w:rsidRPr="00B80720">
        <w:rPr>
          <w:rFonts w:ascii="Arial" w:hAnsi="Arial"/>
        </w:rPr>
        <w:t xml:space="preserve"> </w:t>
      </w:r>
    </w:p>
    <w:p w:rsidRPr="00B80720" w:rsidR="00206C21" w:rsidP="00B80720" w:rsidRDefault="00EB5B98" w14:paraId="64F75CA6" w14:textId="75C6F813">
      <w:pPr>
        <w:pStyle w:val="Textbody"/>
        <w:spacing w:after="0"/>
        <w:rPr>
          <w:rFonts w:ascii="Arial" w:hAnsi="Arial"/>
        </w:rPr>
      </w:pPr>
      <w:r w:rsidRPr="00B80720">
        <w:rPr>
          <w:rFonts w:ascii="Arial" w:hAnsi="Arial"/>
        </w:rPr>
        <w:t xml:space="preserve">Gemäß dem Thüringer Waldgesetz (§ 12 Abs. 7 </w:t>
      </w:r>
      <w:proofErr w:type="spellStart"/>
      <w:r w:rsidRPr="00B80720">
        <w:rPr>
          <w:rFonts w:ascii="Arial" w:hAnsi="Arial"/>
        </w:rPr>
        <w:t>ThürWaldG</w:t>
      </w:r>
      <w:proofErr w:type="spellEnd"/>
      <w:r w:rsidRPr="00B80720">
        <w:rPr>
          <w:rFonts w:ascii="Arial" w:hAnsi="Arial"/>
        </w:rPr>
        <w:t>) sind Windkraftanlagen explizit als besondere Gefahrenquellen eingestuft. Da der Breitberg ein dicht bewaldeter und topographisch schwer zugänglicher Höhenzug ist, können die gesetzlich geforderten Schutzstreifen (Sicherheitsradius bei Brand und Trümmerflug beträgt empirisch mindestens 300 bis 500 Meter um jede Anlage) räumlich gar nicht realisiert werden, ohne verheerende Kahlschläge im Wald zu verursachen.</w:t>
      </w:r>
    </w:p>
    <w:p w:rsidRPr="00B80720" w:rsidR="00206C21" w:rsidRDefault="00206C21" w14:paraId="00AA3E20" w14:textId="77777777">
      <w:pPr>
        <w:pStyle w:val="HorizontalLine"/>
        <w:spacing w:after="0"/>
        <w:rPr>
          <w:rFonts w:ascii="Arial" w:hAnsi="Arial"/>
          <w:sz w:val="24"/>
          <w:szCs w:val="24"/>
        </w:rPr>
      </w:pPr>
    </w:p>
    <w:p w:rsidRPr="00B80720" w:rsidR="00206C21" w:rsidRDefault="00EB5B98" w14:paraId="1E1E01BB" w14:textId="77777777">
      <w:pPr>
        <w:pStyle w:val="Textbody"/>
        <w:spacing w:before="360" w:after="180"/>
        <w:rPr>
          <w:rFonts w:ascii="Arial" w:hAnsi="Arial"/>
          <w:b/>
        </w:rPr>
      </w:pPr>
      <w:r w:rsidRPr="00B80720">
        <w:rPr>
          <w:rFonts w:ascii="Arial" w:hAnsi="Arial"/>
          <w:b/>
        </w:rPr>
        <w:t>2. Artenschutz und Biodiversität: Massiver Verstoß gegen das Tötungsverbot durch Gefährdung eines Rotmilan-Dichtezentrums</w:t>
      </w:r>
    </w:p>
    <w:p w:rsidR="00206C21" w:rsidRDefault="00EB5B98" w14:paraId="00352DF1" w14:textId="77777777">
      <w:pPr>
        <w:pStyle w:val="Textbody"/>
        <w:spacing w:after="0"/>
        <w:rPr>
          <w:rFonts w:ascii="Arial" w:hAnsi="Arial"/>
        </w:rPr>
      </w:pPr>
      <w:r w:rsidRPr="00B80720">
        <w:rPr>
          <w:rFonts w:ascii="Arial" w:hAnsi="Arial"/>
        </w:rPr>
        <w:t xml:space="preserve">Die Ausweisung des Windvorranggebietes W29 Breitberg steht in direktem, unheilbarem Konflikt mit den strengen Artenschutzbestimmungen des Bundes- und Europarechts. Das Plangebiet und die direkt angrenzenden Flächen stellen nachweislich ein hochfrequentiertes Nahrungshabitat und potenzielles Brutgebiet des </w:t>
      </w:r>
      <w:r w:rsidRPr="00B80720">
        <w:rPr>
          <w:rStyle w:val="StrongEmphasis"/>
          <w:rFonts w:ascii="Arial" w:hAnsi="Arial"/>
        </w:rPr>
        <w:t>Rotmilans (</w:t>
      </w:r>
      <w:proofErr w:type="spellStart"/>
      <w:r w:rsidRPr="00B80720">
        <w:rPr>
          <w:rStyle w:val="Hervorhebung"/>
          <w:rFonts w:ascii="Arial" w:hAnsi="Arial"/>
          <w:b/>
        </w:rPr>
        <w:t>Milvus</w:t>
      </w:r>
      <w:proofErr w:type="spellEnd"/>
      <w:r w:rsidRPr="00B80720">
        <w:rPr>
          <w:rStyle w:val="Hervorhebung"/>
          <w:rFonts w:ascii="Arial" w:hAnsi="Arial"/>
          <w:b/>
        </w:rPr>
        <w:t xml:space="preserve"> </w:t>
      </w:r>
      <w:proofErr w:type="spellStart"/>
      <w:r w:rsidRPr="00B80720">
        <w:rPr>
          <w:rStyle w:val="Hervorhebung"/>
          <w:rFonts w:ascii="Arial" w:hAnsi="Arial"/>
          <w:b/>
        </w:rPr>
        <w:t>milvus</w:t>
      </w:r>
      <w:proofErr w:type="spellEnd"/>
      <w:r w:rsidRPr="00B80720">
        <w:rPr>
          <w:rStyle w:val="StrongEmphasis"/>
          <w:rFonts w:ascii="Arial" w:hAnsi="Arial"/>
        </w:rPr>
        <w:t>)</w:t>
      </w:r>
      <w:r w:rsidRPr="00B80720">
        <w:rPr>
          <w:rFonts w:ascii="Arial" w:hAnsi="Arial"/>
        </w:rPr>
        <w:t xml:space="preserve"> dar.</w:t>
      </w:r>
    </w:p>
    <w:p w:rsidRPr="00B80720" w:rsidR="00B80720" w:rsidRDefault="00B80720" w14:paraId="5A0FB14E" w14:textId="77777777">
      <w:pPr>
        <w:pStyle w:val="Textbody"/>
        <w:spacing w:after="0"/>
        <w:rPr>
          <w:rFonts w:ascii="Arial" w:hAnsi="Arial"/>
        </w:rPr>
      </w:pPr>
    </w:p>
    <w:p w:rsidR="00B80720" w:rsidP="00B80720" w:rsidRDefault="00EB5B98" w14:paraId="066C10BF" w14:textId="77777777">
      <w:pPr>
        <w:pStyle w:val="Textbody"/>
        <w:numPr>
          <w:ilvl w:val="0"/>
          <w:numId w:val="5"/>
        </w:numPr>
        <w:spacing w:after="0"/>
        <w:ind w:left="284" w:hanging="294"/>
        <w:rPr>
          <w:rFonts w:ascii="Arial" w:hAnsi="Arial"/>
        </w:rPr>
      </w:pPr>
      <w:r w:rsidRPr="00B80720">
        <w:rPr>
          <w:rStyle w:val="StrongEmphasis"/>
          <w:rFonts w:ascii="Arial" w:hAnsi="Arial"/>
        </w:rPr>
        <w:t xml:space="preserve">Konkreter </w:t>
      </w:r>
      <w:r w:rsidRPr="00B80720">
        <w:rPr>
          <w:rStyle w:val="StrongEmphasis"/>
          <w:rFonts w:ascii="Arial" w:hAnsi="Arial"/>
        </w:rPr>
        <w:t>Sachverhalt und Nachweis eines Dichtezentrums:</w:t>
      </w:r>
      <w:r w:rsidRPr="00B80720">
        <w:rPr>
          <w:rFonts w:ascii="Arial" w:hAnsi="Arial"/>
        </w:rPr>
        <w:t xml:space="preserve"> </w:t>
      </w:r>
    </w:p>
    <w:p w:rsidR="00206C21" w:rsidP="00B80720" w:rsidRDefault="00EB5B98" w14:paraId="13302EB6" w14:textId="71C7509A">
      <w:pPr>
        <w:pStyle w:val="Textbody"/>
        <w:spacing w:after="0"/>
        <w:rPr>
          <w:rFonts w:ascii="Arial" w:hAnsi="Arial"/>
        </w:rPr>
      </w:pPr>
      <w:r w:rsidRPr="00B80720">
        <w:rPr>
          <w:rFonts w:ascii="Arial" w:hAnsi="Arial"/>
        </w:rPr>
        <w:t xml:space="preserve">Im Rahmen regelmäßiger Begehungen des Gebiets – insbesondere während und unmittelbar nach der Mahd der dortigen Wiesenflächen – lässt sich regelmäßig ein </w:t>
      </w:r>
      <w:proofErr w:type="gramStart"/>
      <w:r w:rsidRPr="00B80720">
        <w:rPr>
          <w:rFonts w:ascii="Arial" w:hAnsi="Arial"/>
        </w:rPr>
        <w:t>extrem hohes</w:t>
      </w:r>
      <w:proofErr w:type="gramEnd"/>
      <w:r w:rsidRPr="00B80720">
        <w:rPr>
          <w:rFonts w:ascii="Arial" w:hAnsi="Arial"/>
        </w:rPr>
        <w:t xml:space="preserve"> Aufkommen von Rotmilanen verifizieren. Es wurden wiederholt 10 bis 15 Paare (bzw. Einzeltiere) gleichzeitig im direkten Luftraum über den betroffenen Flächen bei der Nahrungssuche dokumentiert. Diese verifizierte Individuenzahl belegt zweifelsfrei, dass es sich beim Breitberg um ein Dichtezentrum der Art handelt. Die Offenland- und Wiesenstrukturen im geplanten W29 besitzen für diese Population eine herausragende, existenzsichernde Bedeutung als essenzielles Nahrungshabitat.</w:t>
      </w:r>
    </w:p>
    <w:p w:rsidRPr="00B80720" w:rsidR="00B80720" w:rsidP="00B80720" w:rsidRDefault="00B80720" w14:paraId="58091CA7" w14:textId="77777777">
      <w:pPr>
        <w:pStyle w:val="Textbody"/>
        <w:spacing w:after="0"/>
        <w:rPr>
          <w:rFonts w:ascii="Arial" w:hAnsi="Arial"/>
        </w:rPr>
      </w:pPr>
    </w:p>
    <w:p w:rsidR="00B80720" w:rsidP="00B80720" w:rsidRDefault="00EB5B98" w14:paraId="4F7FA8FA" w14:textId="77777777">
      <w:pPr>
        <w:pStyle w:val="Textbody"/>
        <w:numPr>
          <w:ilvl w:val="0"/>
          <w:numId w:val="5"/>
        </w:numPr>
        <w:spacing w:after="0"/>
        <w:ind w:left="284" w:hanging="294"/>
        <w:rPr>
          <w:rFonts w:ascii="Arial" w:hAnsi="Arial"/>
        </w:rPr>
      </w:pPr>
      <w:r w:rsidRPr="00B80720">
        <w:rPr>
          <w:rStyle w:val="StrongEmphasis"/>
          <w:rFonts w:ascii="Arial" w:hAnsi="Arial"/>
        </w:rPr>
        <w:t xml:space="preserve">Der Rotmilan als </w:t>
      </w:r>
      <w:proofErr w:type="gramStart"/>
      <w:r w:rsidRPr="00B80720">
        <w:rPr>
          <w:rStyle w:val="StrongEmphasis"/>
          <w:rFonts w:ascii="Arial" w:hAnsi="Arial"/>
        </w:rPr>
        <w:t>extrem kollisionsgefährdete</w:t>
      </w:r>
      <w:proofErr w:type="gramEnd"/>
      <w:r w:rsidRPr="00B80720">
        <w:rPr>
          <w:rStyle w:val="StrongEmphasis"/>
          <w:rFonts w:ascii="Arial" w:hAnsi="Arial"/>
        </w:rPr>
        <w:t xml:space="preserve"> Art ("Windkraftsensibel"):</w:t>
      </w:r>
      <w:r w:rsidRPr="00B80720">
        <w:rPr>
          <w:rFonts w:ascii="Arial" w:hAnsi="Arial"/>
        </w:rPr>
        <w:t xml:space="preserve"> </w:t>
      </w:r>
    </w:p>
    <w:p w:rsidR="00206C21" w:rsidP="00B80720" w:rsidRDefault="00EB5B98" w14:paraId="3A7CC822" w14:textId="73319074">
      <w:pPr>
        <w:pStyle w:val="Textbody"/>
        <w:spacing w:after="0"/>
        <w:rPr>
          <w:rFonts w:ascii="Arial" w:hAnsi="Arial"/>
        </w:rPr>
      </w:pPr>
      <w:r w:rsidRPr="00B80720">
        <w:rPr>
          <w:rFonts w:ascii="Arial" w:hAnsi="Arial"/>
        </w:rPr>
        <w:t>Der Rotmilan gehört nach den wissenschaftlichen Erkenntnissen der Länderarbeitsgemeinschaft der Vogelschutzwarten (LAG VSW / Helgoländer Papier) zu den am stärksten durch Windkraftanlagen gefährdeten Vogelarten überhaupt (sogenannte „Schlagopfer-Art“). Rotmilane sind evolutionär darauf programmiert, bei der Jagd den Boden nach Kleinsäugern abzusuchen (Suchtflug). Sie blicken dabei nach unten und nehmen die sich mit bis zu 300 km/h bewegenden Rotorspitzen im Luftraum nicht wahr. Gerade die von mir beobachtet</w:t>
      </w:r>
      <w:r w:rsidRPr="00B80720">
        <w:rPr>
          <w:rFonts w:ascii="Arial" w:hAnsi="Arial"/>
        </w:rPr>
        <w:t>e Situation der Wiesenmahd zieht die Tiere magisch an. Werden genau auf diesen Flächen Windkraftanlagen errichtet, fungiert das Gebiet als tödliche ökologische Falle (sogenannter „In-trap-Effekt“).</w:t>
      </w:r>
    </w:p>
    <w:p w:rsidRPr="00B80720" w:rsidR="00B80720" w:rsidP="00B80720" w:rsidRDefault="00B80720" w14:paraId="16E003F2" w14:textId="77777777">
      <w:pPr>
        <w:pStyle w:val="Textbody"/>
        <w:spacing w:after="0"/>
        <w:rPr>
          <w:rFonts w:ascii="Arial" w:hAnsi="Arial"/>
        </w:rPr>
      </w:pPr>
    </w:p>
    <w:p w:rsidR="00B80720" w:rsidP="00B80720" w:rsidRDefault="00EB5B98" w14:paraId="3BA036AC" w14:textId="77777777">
      <w:pPr>
        <w:pStyle w:val="Textbody"/>
        <w:numPr>
          <w:ilvl w:val="0"/>
          <w:numId w:val="5"/>
        </w:numPr>
        <w:spacing w:after="0"/>
        <w:ind w:left="284" w:hanging="294"/>
        <w:rPr>
          <w:rFonts w:ascii="Arial" w:hAnsi="Arial"/>
        </w:rPr>
      </w:pPr>
      <w:r w:rsidRPr="00B80720">
        <w:rPr>
          <w:rStyle w:val="StrongEmphasis"/>
          <w:rFonts w:ascii="Arial" w:hAnsi="Arial"/>
        </w:rPr>
        <w:t>Eklatanter Verstoß gegen das gesetzliche Tötungsverbot (§ 44 Abs. 1 Nr. 1 BNatSchG):</w:t>
      </w:r>
      <w:r w:rsidRPr="00B80720">
        <w:rPr>
          <w:rFonts w:ascii="Arial" w:hAnsi="Arial"/>
        </w:rPr>
        <w:t xml:space="preserve"> </w:t>
      </w:r>
    </w:p>
    <w:p w:rsidRPr="00B80720" w:rsidR="00206C21" w:rsidP="00B80720" w:rsidRDefault="00EB5B98" w14:paraId="60169FE7" w14:textId="7EFC99AB">
      <w:pPr>
        <w:pStyle w:val="Textbody"/>
        <w:spacing w:after="0"/>
        <w:ind w:left="-10"/>
        <w:rPr>
          <w:rFonts w:ascii="Arial" w:hAnsi="Arial"/>
        </w:rPr>
      </w:pPr>
      <w:r w:rsidRPr="00B80720">
        <w:rPr>
          <w:rFonts w:ascii="Arial" w:hAnsi="Arial"/>
        </w:rPr>
        <w:t xml:space="preserve">Gemäß § 44 Abs. 1 Nr. 1 des Bundesnaturschutzgesetzes (BNatSchG) ist es verboten, </w:t>
      </w:r>
      <w:r w:rsidRPr="00B80720">
        <w:rPr>
          <w:rFonts w:ascii="Arial" w:hAnsi="Arial"/>
        </w:rPr>
        <w:lastRenderedPageBreak/>
        <w:t>wildlebenden Tieren der streng geschützten Arten nachzujagen, sie zu fangen, zu verletzen oder zu töten. Durch die Errichtung von WKA inmitten eines nachgewiesenen Rotmilan-Nahrungs- und Dichtezentrums wird das allgemeine Lebensrisiko der Tiere unzulässig und drastisch erhöht. Es liegt ein klassischer Fall der signifikanten Erhöhung des Tötungsrisikos vor. Die Rechtsprechung des Bundesverwaltungsgerichts (BVerwG) besagt eindeutig, dass eine Planung nicht vollzogen werden darf, wenn sie sehenden Auges in ein</w:t>
      </w:r>
      <w:r w:rsidRPr="00B80720">
        <w:rPr>
          <w:rFonts w:ascii="Arial" w:hAnsi="Arial"/>
        </w:rPr>
        <w:t>en unüberwindbaren Konflikt mit den artenschutzrechtlichen Verbotstatbeständen läuft.</w:t>
      </w:r>
    </w:p>
    <w:p w:rsidR="00B80720" w:rsidP="00B80720" w:rsidRDefault="00EB5B98" w14:paraId="1A81DC0E" w14:textId="4E200203">
      <w:pPr>
        <w:pStyle w:val="Textbody"/>
        <w:numPr>
          <w:ilvl w:val="0"/>
          <w:numId w:val="5"/>
        </w:numPr>
        <w:spacing w:after="0"/>
        <w:ind w:left="284" w:hanging="294"/>
        <w:rPr>
          <w:rFonts w:ascii="Arial" w:hAnsi="Arial"/>
        </w:rPr>
      </w:pPr>
      <w:r w:rsidRPr="00B80720">
        <w:rPr>
          <w:rStyle w:val="StrongEmphasis"/>
          <w:rFonts w:ascii="Arial" w:hAnsi="Arial"/>
        </w:rPr>
        <w:t xml:space="preserve">Kollision mit den gesetzlichen Abstandsvorgaben </w:t>
      </w:r>
      <w:r w:rsidR="00EB4C11">
        <w:rPr>
          <w:rStyle w:val="StrongEmphasis"/>
          <w:rFonts w:ascii="Arial" w:hAnsi="Arial"/>
        </w:rPr>
        <w:br/>
      </w:r>
      <w:r w:rsidRPr="00B80720">
        <w:rPr>
          <w:rStyle w:val="StrongEmphasis"/>
          <w:rFonts w:ascii="Arial" w:hAnsi="Arial"/>
        </w:rPr>
        <w:t xml:space="preserve">(§ 45b BNatSchG </w:t>
      </w:r>
      <w:proofErr w:type="spellStart"/>
      <w:r w:rsidRPr="00B80720">
        <w:rPr>
          <w:rStyle w:val="StrongEmphasis"/>
          <w:rFonts w:ascii="Arial" w:hAnsi="Arial"/>
        </w:rPr>
        <w:t>i.V.m</w:t>
      </w:r>
      <w:proofErr w:type="spellEnd"/>
      <w:r w:rsidRPr="00B80720">
        <w:rPr>
          <w:rStyle w:val="StrongEmphasis"/>
          <w:rFonts w:ascii="Arial" w:hAnsi="Arial"/>
        </w:rPr>
        <w:t>. Anlage 1):</w:t>
      </w:r>
      <w:r w:rsidRPr="00B80720">
        <w:rPr>
          <w:rFonts w:ascii="Arial" w:hAnsi="Arial"/>
        </w:rPr>
        <w:t xml:space="preserve"> </w:t>
      </w:r>
    </w:p>
    <w:p w:rsidRPr="00B80720" w:rsidR="00206C21" w:rsidP="00EB4C11" w:rsidRDefault="00EB5B98" w14:paraId="4F711C8B" w14:textId="6C6A893E">
      <w:pPr>
        <w:pStyle w:val="Textbody"/>
        <w:spacing w:after="0"/>
        <w:ind w:left="-10"/>
        <w:rPr>
          <w:rFonts w:ascii="Arial" w:hAnsi="Arial"/>
        </w:rPr>
      </w:pPr>
      <w:r w:rsidRPr="00B80720">
        <w:rPr>
          <w:rFonts w:ascii="Arial" w:hAnsi="Arial"/>
        </w:rPr>
        <w:t>Der Rotmilan ist in Anlage 1 zu § 45b BNatSchG als kollisionsgefährdete Vogelart gelistet. Der gesetzliche Tabubereich (Nahbereich) um ein Rotmilan-Nest beträgt bundesweit 1.500 Meter. Angesichts der von mir beobachteten hohen Dichte von bis zu 15 Paaren ist mathematisch und biologisch davon auszugehen, dass sich im Umkreis des Breitbergs mehrere aktive Brutpaare innerhalb dieses 1,5-Kilometer-Radius befinden. Die Errichtung von Anlagen innerhalb dieses Schutzradius ist gesetzlich unzulässig. Eine Heilung d</w:t>
      </w:r>
      <w:r w:rsidRPr="00B80720">
        <w:rPr>
          <w:rFonts w:ascii="Arial" w:hAnsi="Arial"/>
        </w:rPr>
        <w:t>urch Antikollisionssysteme (z. B. Kameraabschaltsysteme) ist bei dieser extremen Dichte technisch nicht zuverlässig realisierbar.</w:t>
      </w:r>
    </w:p>
    <w:p w:rsidRPr="00B80720" w:rsidR="00206C21" w:rsidRDefault="00EB5B98" w14:paraId="4160CF8C" w14:textId="77777777">
      <w:pPr>
        <w:pStyle w:val="Textbody"/>
        <w:spacing w:before="360" w:after="180"/>
        <w:rPr>
          <w:rFonts w:ascii="Arial" w:hAnsi="Arial"/>
          <w:b/>
        </w:rPr>
      </w:pPr>
      <w:r w:rsidRPr="00B80720">
        <w:rPr>
          <w:rFonts w:ascii="Arial" w:hAnsi="Arial"/>
          <w:b/>
        </w:rPr>
        <w:t xml:space="preserve">3. Bodenschutz und Mikroklima: Gefährdung der Bodenfunktionen durch künstlich induzierte </w:t>
      </w:r>
      <w:proofErr w:type="spellStart"/>
      <w:r w:rsidRPr="00B80720">
        <w:rPr>
          <w:rFonts w:ascii="Arial" w:hAnsi="Arial"/>
          <w:b/>
        </w:rPr>
        <w:t>Evapotranspiration</w:t>
      </w:r>
      <w:proofErr w:type="spellEnd"/>
      <w:r w:rsidRPr="00B80720">
        <w:rPr>
          <w:rFonts w:ascii="Arial" w:hAnsi="Arial"/>
          <w:b/>
        </w:rPr>
        <w:t xml:space="preserve"> (Verdunstung)</w:t>
      </w:r>
    </w:p>
    <w:p w:rsidR="00206C21" w:rsidRDefault="00EB5B98" w14:paraId="3A06F98A" w14:textId="77777777">
      <w:pPr>
        <w:pStyle w:val="Textbody"/>
        <w:spacing w:after="0"/>
        <w:rPr>
          <w:rFonts w:ascii="Arial" w:hAnsi="Arial"/>
        </w:rPr>
      </w:pPr>
      <w:r w:rsidRPr="00B80720">
        <w:rPr>
          <w:rFonts w:ascii="Arial" w:hAnsi="Arial"/>
        </w:rPr>
        <w:t xml:space="preserve">Die Ausweisung des Windvorranggebietes W29 Breitberg gefährdet die natürlichen Bodenfunktionen in einem bereits stark durch Trockenheit beanspruchten Ökosystem. Der Betrieb von Windkraftanlagen (WKA) führt zu einer künstlichen, großflächigen Veränderung des Mikroklimas vor Ort. Dies verstößt an diesem vulnerablen Standort gegen die Kernziele des </w:t>
      </w:r>
      <w:r w:rsidRPr="00B80720">
        <w:rPr>
          <w:rStyle w:val="StrongEmphasis"/>
          <w:rFonts w:ascii="Arial" w:hAnsi="Arial"/>
        </w:rPr>
        <w:t>Bundes-Bodenschutzgesetzes (BBodSchG)</w:t>
      </w:r>
      <w:r w:rsidRPr="00B80720">
        <w:rPr>
          <w:rFonts w:ascii="Arial" w:hAnsi="Arial"/>
        </w:rPr>
        <w:t xml:space="preserve"> sowie des </w:t>
      </w:r>
      <w:r w:rsidRPr="00B80720">
        <w:rPr>
          <w:rStyle w:val="StrongEmphasis"/>
          <w:rFonts w:ascii="Arial" w:hAnsi="Arial"/>
        </w:rPr>
        <w:t>Thüringer Gesetzes zur Ausführung des Bundes-Bodenschutzgesetzes (</w:t>
      </w:r>
      <w:proofErr w:type="spellStart"/>
      <w:r w:rsidRPr="00B80720">
        <w:rPr>
          <w:rStyle w:val="StrongEmphasis"/>
          <w:rFonts w:ascii="Arial" w:hAnsi="Arial"/>
        </w:rPr>
        <w:t>ThürBODG</w:t>
      </w:r>
      <w:proofErr w:type="spellEnd"/>
      <w:r w:rsidRPr="00B80720">
        <w:rPr>
          <w:rStyle w:val="StrongEmphasis"/>
          <w:rFonts w:ascii="Arial" w:hAnsi="Arial"/>
        </w:rPr>
        <w:t>)</w:t>
      </w:r>
      <w:r w:rsidRPr="00B80720">
        <w:rPr>
          <w:rFonts w:ascii="Arial" w:hAnsi="Arial"/>
        </w:rPr>
        <w:t>.</w:t>
      </w:r>
    </w:p>
    <w:p w:rsidRPr="00B80720" w:rsidR="00EB4C11" w:rsidRDefault="00EB4C11" w14:paraId="52046FDD" w14:textId="77777777">
      <w:pPr>
        <w:pStyle w:val="Textbody"/>
        <w:spacing w:after="0"/>
        <w:rPr>
          <w:rFonts w:ascii="Arial" w:hAnsi="Arial"/>
        </w:rPr>
      </w:pPr>
    </w:p>
    <w:p w:rsidR="00EB4C11" w:rsidP="00EB4C11" w:rsidRDefault="00EB5B98" w14:paraId="494804B4" w14:textId="77777777">
      <w:pPr>
        <w:pStyle w:val="Textbody"/>
        <w:numPr>
          <w:ilvl w:val="0"/>
          <w:numId w:val="5"/>
        </w:numPr>
        <w:spacing w:after="0"/>
        <w:ind w:left="284" w:hanging="294"/>
        <w:rPr>
          <w:rFonts w:ascii="Arial" w:hAnsi="Arial"/>
        </w:rPr>
      </w:pPr>
      <w:r w:rsidRPr="00B80720">
        <w:rPr>
          <w:rStyle w:val="StrongEmphasis"/>
          <w:rFonts w:ascii="Arial" w:hAnsi="Arial"/>
        </w:rPr>
        <w:t>Der physikalische Effekt (Nachlauf-Effekt / Wake-</w:t>
      </w:r>
      <w:proofErr w:type="spellStart"/>
      <w:r w:rsidRPr="00B80720">
        <w:rPr>
          <w:rStyle w:val="StrongEmphasis"/>
          <w:rFonts w:ascii="Arial" w:hAnsi="Arial"/>
        </w:rPr>
        <w:t>Effect</w:t>
      </w:r>
      <w:proofErr w:type="spellEnd"/>
      <w:r w:rsidRPr="00B80720">
        <w:rPr>
          <w:rStyle w:val="StrongEmphasis"/>
          <w:rFonts w:ascii="Arial" w:hAnsi="Arial"/>
        </w:rPr>
        <w:t>):</w:t>
      </w:r>
      <w:r w:rsidRPr="00B80720">
        <w:rPr>
          <w:rFonts w:ascii="Arial" w:hAnsi="Arial"/>
        </w:rPr>
        <w:t xml:space="preserve"> </w:t>
      </w:r>
    </w:p>
    <w:p w:rsidR="00206C21" w:rsidP="00EB4C11" w:rsidRDefault="00EB5B98" w14:paraId="389FE824" w14:textId="0F444642">
      <w:pPr>
        <w:pStyle w:val="Textbody"/>
        <w:spacing w:after="0"/>
        <w:ind w:left="-10"/>
        <w:rPr>
          <w:rFonts w:ascii="Arial" w:hAnsi="Arial"/>
        </w:rPr>
      </w:pPr>
      <w:r w:rsidRPr="00B80720">
        <w:rPr>
          <w:rFonts w:ascii="Arial" w:hAnsi="Arial"/>
        </w:rPr>
        <w:t>In den Nachtstunden kühlt der Boden ab, und es bildet sich eine schützende, kalte und feuchtere Luftschicht direkt über der Erdoberfläche. Die Rotoren moderner Großanlagen durchbrechen diese stabile Schichtung. Sie saugen die kühle Luft nach oben und drücken die darüber liegenden, wärmeren und trockeneren Luftmassen mit hoher Geschwindigkeit an den Boden. Dieser permanente, künstliche Luftaustausch erhöht die bodennahe Temperatur und wirkt wie ein riesiger Föhn. Die natürliche Bodenfeuchte wird kontinuierli</w:t>
      </w:r>
      <w:r w:rsidRPr="00B80720">
        <w:rPr>
          <w:rFonts w:ascii="Arial" w:hAnsi="Arial"/>
        </w:rPr>
        <w:t xml:space="preserve">ch entzogen (induzierte </w:t>
      </w:r>
      <w:proofErr w:type="spellStart"/>
      <w:r w:rsidRPr="00B80720">
        <w:rPr>
          <w:rFonts w:ascii="Arial" w:hAnsi="Arial"/>
        </w:rPr>
        <w:t>Evapotranspiration</w:t>
      </w:r>
      <w:proofErr w:type="spellEnd"/>
      <w:r w:rsidRPr="00B80720">
        <w:rPr>
          <w:rFonts w:ascii="Arial" w:hAnsi="Arial"/>
        </w:rPr>
        <w:t>), was zu einer beschleunigten Austrocknung führt.</w:t>
      </w:r>
    </w:p>
    <w:p w:rsidRPr="00B80720" w:rsidR="00EB4C11" w:rsidP="00EB4C11" w:rsidRDefault="00EB4C11" w14:paraId="1233560C" w14:textId="77777777">
      <w:pPr>
        <w:pStyle w:val="Textbody"/>
        <w:spacing w:after="0"/>
        <w:ind w:left="-10"/>
        <w:rPr>
          <w:rFonts w:ascii="Arial" w:hAnsi="Arial"/>
        </w:rPr>
      </w:pPr>
    </w:p>
    <w:p w:rsidR="00EB4C11" w:rsidP="00EB4C11" w:rsidRDefault="00EB5B98" w14:paraId="45441DEF" w14:textId="230B1B01">
      <w:pPr>
        <w:pStyle w:val="Textbody"/>
        <w:numPr>
          <w:ilvl w:val="0"/>
          <w:numId w:val="5"/>
        </w:numPr>
        <w:spacing w:after="0"/>
        <w:ind w:left="284" w:hanging="294"/>
        <w:rPr>
          <w:rFonts w:ascii="Arial" w:hAnsi="Arial"/>
        </w:rPr>
      </w:pPr>
      <w:r w:rsidRPr="288C9E73" w:rsidR="00EB5B98">
        <w:rPr>
          <w:rStyle w:val="StrongEmphasis"/>
          <w:rFonts w:ascii="Arial" w:hAnsi="Arial"/>
        </w:rPr>
        <w:t xml:space="preserve"> </w:t>
      </w:r>
    </w:p>
    <w:p w:rsidR="00206C21" w:rsidP="00EB4C11" w:rsidRDefault="00EB5B98" w14:paraId="69999214" w14:textId="4D0B4ADF">
      <w:pPr>
        <w:pStyle w:val="Textbody"/>
        <w:spacing w:after="0"/>
        <w:rPr>
          <w:rFonts w:ascii="Arial" w:hAnsi="Arial"/>
        </w:rPr>
      </w:pPr>
      <w:r w:rsidRPr="00EB4C11">
        <w:rPr>
          <w:rFonts w:ascii="Arial" w:hAnsi="Arial"/>
        </w:rPr>
        <w:t>Die Region um den Breitberg weist bereits im natürlichen Zustand eine hochgradig kritische Wasserbilanz auf. Der Gesamtniederschlag beträgt lediglich ca. 600 Liter pro Quadratmeter im Jahr. In der für die Land- und Forstwirtschaft überlebenswichtigen Vegetationszeit sinken die Niederschlagsmengen auf unter 300 Liter pro Quadratmeter. In einem ohnehin von Trockenstress geprägten Gebiet ist der künstlich intensivierte Entzug der Bodenfeuchtigkeit durch WKA ein gefährlicher Eingriff in den lokalen Wasserhausha</w:t>
      </w:r>
      <w:r w:rsidRPr="00EB4C11">
        <w:rPr>
          <w:rFonts w:ascii="Arial" w:hAnsi="Arial"/>
        </w:rPr>
        <w:t>lt.</w:t>
      </w:r>
    </w:p>
    <w:p w:rsidRPr="00EB4C11" w:rsidR="00EB4C11" w:rsidP="00EB4C11" w:rsidRDefault="00EB4C11" w14:paraId="79334453" w14:textId="77777777">
      <w:pPr>
        <w:pStyle w:val="Textbody"/>
        <w:spacing w:after="0"/>
        <w:rPr>
          <w:rFonts w:ascii="Arial" w:hAnsi="Arial"/>
        </w:rPr>
      </w:pPr>
    </w:p>
    <w:p w:rsidR="00EB4C11" w:rsidP="00EB4C11" w:rsidRDefault="00EB5B98" w14:paraId="4A6491BF" w14:textId="77777777">
      <w:pPr>
        <w:pStyle w:val="Textbody"/>
        <w:numPr>
          <w:ilvl w:val="0"/>
          <w:numId w:val="5"/>
        </w:numPr>
        <w:spacing w:after="0"/>
        <w:ind w:left="284" w:hanging="294"/>
        <w:rPr>
          <w:rFonts w:ascii="Arial" w:hAnsi="Arial"/>
        </w:rPr>
      </w:pPr>
      <w:r w:rsidRPr="00B80720">
        <w:rPr>
          <w:rStyle w:val="StrongEmphasis"/>
          <w:rFonts w:ascii="Arial" w:hAnsi="Arial"/>
        </w:rPr>
        <w:t>Eklatanter Verstoß gegen das BBodSchG:</w:t>
      </w:r>
      <w:r w:rsidRPr="00B80720">
        <w:rPr>
          <w:rFonts w:ascii="Arial" w:hAnsi="Arial"/>
        </w:rPr>
        <w:t xml:space="preserve"> </w:t>
      </w:r>
    </w:p>
    <w:p w:rsidRPr="00B80720" w:rsidR="00206C21" w:rsidP="00EB4C11" w:rsidRDefault="00EB5B98" w14:paraId="438603C6" w14:textId="0C343867">
      <w:pPr>
        <w:pStyle w:val="Textbody"/>
        <w:spacing w:after="0"/>
        <w:ind w:left="-10"/>
        <w:rPr>
          <w:rFonts w:ascii="Arial" w:hAnsi="Arial"/>
        </w:rPr>
      </w:pPr>
      <w:r w:rsidRPr="00B80720">
        <w:rPr>
          <w:rFonts w:ascii="Arial" w:hAnsi="Arial"/>
        </w:rPr>
        <w:t>Dieses mikroklimatische Austrocknungsszenario kollidiert direkt mit den gesetzlichen Schutzgütern des Bodenschutzes:</w:t>
      </w:r>
    </w:p>
    <w:p w:rsidRPr="00B80720" w:rsidR="00206C21" w:rsidRDefault="00EB5B98" w14:paraId="074B9C19" w14:textId="77777777">
      <w:pPr>
        <w:pStyle w:val="Textbody"/>
        <w:numPr>
          <w:ilvl w:val="1"/>
          <w:numId w:val="3"/>
        </w:numPr>
        <w:spacing w:after="0"/>
        <w:ind w:left="0" w:firstLine="0"/>
        <w:rPr>
          <w:rFonts w:ascii="Arial" w:hAnsi="Arial"/>
        </w:rPr>
      </w:pPr>
      <w:r w:rsidRPr="00B80720">
        <w:rPr>
          <w:rStyle w:val="Hervorhebung"/>
          <w:rFonts w:ascii="Arial" w:hAnsi="Arial"/>
        </w:rPr>
        <w:t>Verstoß gegen die Pflicht zur Gefahrenabwehr (§ 4 Abs. 1 BBodSchG):</w:t>
      </w:r>
      <w:r w:rsidRPr="00B80720">
        <w:rPr>
          <w:rFonts w:ascii="Arial" w:hAnsi="Arial"/>
        </w:rPr>
        <w:t xml:space="preserve"> Die großflächige, irreversible Austrocknung der oberen Bodenschichten stellt eine schädliche </w:t>
      </w:r>
      <w:r w:rsidRPr="00B80720">
        <w:rPr>
          <w:rFonts w:ascii="Arial" w:hAnsi="Arial"/>
        </w:rPr>
        <w:lastRenderedPageBreak/>
        <w:t>Bodenveränderung dar, da sie die biologische Funktion des Bodens nachhaltig degeneriert.</w:t>
      </w:r>
    </w:p>
    <w:p w:rsidRPr="00B80720" w:rsidR="00206C21" w:rsidRDefault="00EB5B98" w14:paraId="7AB02466" w14:textId="77777777">
      <w:pPr>
        <w:pStyle w:val="Textbody"/>
        <w:numPr>
          <w:ilvl w:val="1"/>
          <w:numId w:val="3"/>
        </w:numPr>
        <w:spacing w:after="0"/>
        <w:ind w:left="0" w:firstLine="0"/>
        <w:rPr>
          <w:rFonts w:ascii="Arial" w:hAnsi="Arial"/>
        </w:rPr>
      </w:pPr>
      <w:r w:rsidRPr="00B80720">
        <w:rPr>
          <w:rStyle w:val="Hervorhebung"/>
          <w:rFonts w:ascii="Arial" w:hAnsi="Arial"/>
        </w:rPr>
        <w:t>Zerstörung der natürlichen Bodenfunktionen (§ 1 i. V. m. § 2 Abs. 2 BBodSchG):</w:t>
      </w:r>
      <w:r w:rsidRPr="00B80720">
        <w:rPr>
          <w:rFonts w:ascii="Arial" w:hAnsi="Arial"/>
        </w:rPr>
        <w:t xml:space="preserve"> Der Gesetzgeber schützt den Boden explizit als Bestandteil des Naturhaushalts mit seinem Wasserkreislauf. Ein austrocknender Waldboden oder Acker verliert seine Speicher- und Filterfunktion für das Grundwasser.</w:t>
      </w:r>
    </w:p>
    <w:p w:rsidRPr="00B80720" w:rsidR="00206C21" w:rsidRDefault="00EB5B98" w14:paraId="52715B88" w14:textId="77777777">
      <w:pPr>
        <w:pStyle w:val="Textbody"/>
        <w:numPr>
          <w:ilvl w:val="1"/>
          <w:numId w:val="3"/>
        </w:numPr>
        <w:spacing w:after="0"/>
        <w:ind w:left="0" w:firstLine="0"/>
        <w:rPr>
          <w:rFonts w:ascii="Arial" w:hAnsi="Arial"/>
        </w:rPr>
      </w:pPr>
      <w:r w:rsidRPr="00B80720">
        <w:rPr>
          <w:rStyle w:val="Hervorhebung"/>
          <w:rFonts w:ascii="Arial" w:hAnsi="Arial"/>
        </w:rPr>
        <w:t>Erhöhte Erosionsgefahr (§ 8 Abs. 1 BBodSchG):</w:t>
      </w:r>
      <w:r w:rsidRPr="00B80720">
        <w:rPr>
          <w:rFonts w:ascii="Arial" w:hAnsi="Arial"/>
        </w:rPr>
        <w:t xml:space="preserve"> Durch die Austrocknung verliert das Bodengefüge am Breitberg seine Bindungskraft. Wenn nach langen Dürreperioden Starkregenereignisse auftreten, kann der ausgetrocknete Boden das Wasser nicht aufnehmen. Es kommt zu massiver Winderosion sowie zu verheerenden Schlamm- und Bodenabtragungen an den Hängen des Breitbergs.</w:t>
      </w:r>
    </w:p>
    <w:p w:rsidRPr="00B80720" w:rsidR="00206C21" w:rsidRDefault="00206C21" w14:paraId="61D1619F" w14:textId="77777777">
      <w:pPr>
        <w:pStyle w:val="HorizontalLine"/>
        <w:spacing w:after="0"/>
        <w:rPr>
          <w:rFonts w:ascii="Arial" w:hAnsi="Arial"/>
          <w:sz w:val="24"/>
          <w:szCs w:val="24"/>
        </w:rPr>
      </w:pPr>
    </w:p>
    <w:p w:rsidRPr="00B80720" w:rsidR="00206C21" w:rsidRDefault="00EB5B98" w14:paraId="389AFC36" w14:textId="77777777">
      <w:pPr>
        <w:pStyle w:val="Textbody"/>
        <w:spacing w:before="360" w:after="180"/>
        <w:rPr>
          <w:rFonts w:ascii="Arial" w:hAnsi="Arial"/>
          <w:b/>
        </w:rPr>
      </w:pPr>
      <w:r w:rsidRPr="00B80720">
        <w:rPr>
          <w:rFonts w:ascii="Arial" w:hAnsi="Arial"/>
          <w:b/>
        </w:rPr>
        <w:t>4. Landschaftsbild, Kulturlandschaft und Denkmalschutz: Eklatanter Verstoß gegen den Umgebungsschutz des Bodendenkmals „</w:t>
      </w:r>
      <w:proofErr w:type="spellStart"/>
      <w:r w:rsidRPr="00B80720">
        <w:rPr>
          <w:rFonts w:ascii="Arial" w:hAnsi="Arial"/>
          <w:b/>
        </w:rPr>
        <w:t>Steinsburg</w:t>
      </w:r>
      <w:proofErr w:type="spellEnd"/>
      <w:r w:rsidRPr="00B80720">
        <w:rPr>
          <w:rFonts w:ascii="Arial" w:hAnsi="Arial"/>
          <w:b/>
        </w:rPr>
        <w:t>“</w:t>
      </w:r>
    </w:p>
    <w:p w:rsidR="00206C21" w:rsidRDefault="00EB5B98" w14:paraId="2CCA693A" w14:textId="77777777">
      <w:pPr>
        <w:pStyle w:val="Textbody"/>
        <w:spacing w:after="0"/>
        <w:rPr>
          <w:rFonts w:ascii="Arial" w:hAnsi="Arial"/>
        </w:rPr>
      </w:pPr>
      <w:r w:rsidRPr="00B80720">
        <w:rPr>
          <w:rFonts w:ascii="Arial" w:hAnsi="Arial"/>
        </w:rPr>
        <w:t xml:space="preserve">Die geplante Ausweisung des Windvorranggebietes </w:t>
      </w:r>
      <w:r w:rsidRPr="00716596">
        <w:rPr>
          <w:rFonts w:ascii="Arial" w:hAnsi="Arial"/>
          <w:b/>
          <w:bCs/>
        </w:rPr>
        <w:t>W29</w:t>
      </w:r>
      <w:r w:rsidRPr="00B80720">
        <w:rPr>
          <w:rFonts w:ascii="Arial" w:hAnsi="Arial"/>
        </w:rPr>
        <w:t xml:space="preserve"> Breitberg führt im Zusammenspiel mit den angrenzenden Planungsflächen </w:t>
      </w:r>
      <w:r w:rsidRPr="00B80720">
        <w:rPr>
          <w:rStyle w:val="StrongEmphasis"/>
          <w:rFonts w:ascii="Arial" w:hAnsi="Arial"/>
        </w:rPr>
        <w:t>W36</w:t>
      </w:r>
      <w:r w:rsidRPr="00B80720">
        <w:rPr>
          <w:rFonts w:ascii="Arial" w:hAnsi="Arial"/>
        </w:rPr>
        <w:t xml:space="preserve"> und </w:t>
      </w:r>
      <w:r w:rsidRPr="00B80720">
        <w:rPr>
          <w:rStyle w:val="StrongEmphasis"/>
          <w:rFonts w:ascii="Arial" w:hAnsi="Arial"/>
        </w:rPr>
        <w:t>W37</w:t>
      </w:r>
      <w:r w:rsidRPr="00B80720">
        <w:rPr>
          <w:rFonts w:ascii="Arial" w:hAnsi="Arial"/>
        </w:rPr>
        <w:t xml:space="preserve"> zu einer systematischen, industriellen Einkesselung und irreversiblen Entstellung des historisch hochgradig sensiblen Gleichberggebietes. Diese kumulierte „Verspargelung“ verletzt in eklatanter Weise die Schutzvorschriften des </w:t>
      </w:r>
      <w:r w:rsidRPr="00B80720">
        <w:rPr>
          <w:rStyle w:val="StrongEmphasis"/>
          <w:rFonts w:ascii="Arial" w:hAnsi="Arial"/>
        </w:rPr>
        <w:t>Thüringer Denkmalschutzgesetzes (</w:t>
      </w:r>
      <w:proofErr w:type="spellStart"/>
      <w:r w:rsidRPr="00B80720">
        <w:rPr>
          <w:rStyle w:val="StrongEmphasis"/>
          <w:rFonts w:ascii="Arial" w:hAnsi="Arial"/>
        </w:rPr>
        <w:t>ThürDSchG</w:t>
      </w:r>
      <w:proofErr w:type="spellEnd"/>
      <w:r w:rsidRPr="00B80720">
        <w:rPr>
          <w:rStyle w:val="StrongEmphasis"/>
          <w:rFonts w:ascii="Arial" w:hAnsi="Arial"/>
        </w:rPr>
        <w:t>)</w:t>
      </w:r>
      <w:r w:rsidRPr="00B80720">
        <w:rPr>
          <w:rFonts w:ascii="Arial" w:hAnsi="Arial"/>
        </w:rPr>
        <w:t xml:space="preserve"> sowie die bundesrechtlichen Vorgaben zum Schutz des Landschaftsbildes.</w:t>
      </w:r>
    </w:p>
    <w:p w:rsidRPr="00B80720" w:rsidR="00716596" w:rsidRDefault="00716596" w14:paraId="623C27DB" w14:textId="77777777">
      <w:pPr>
        <w:pStyle w:val="Textbody"/>
        <w:spacing w:after="0"/>
        <w:rPr>
          <w:rFonts w:ascii="Arial" w:hAnsi="Arial"/>
        </w:rPr>
      </w:pPr>
    </w:p>
    <w:p w:rsidR="00716596" w:rsidP="00716596" w:rsidRDefault="00EB5B98" w14:paraId="3ED3F583" w14:textId="77777777">
      <w:pPr>
        <w:pStyle w:val="Textbody"/>
        <w:numPr>
          <w:ilvl w:val="0"/>
          <w:numId w:val="5"/>
        </w:numPr>
        <w:spacing w:after="0"/>
        <w:ind w:left="284" w:hanging="294"/>
        <w:rPr>
          <w:rFonts w:ascii="Arial" w:hAnsi="Arial"/>
        </w:rPr>
      </w:pPr>
      <w:r w:rsidRPr="00B80720">
        <w:rPr>
          <w:rStyle w:val="StrongEmphasis"/>
          <w:rFonts w:ascii="Arial" w:hAnsi="Arial"/>
        </w:rPr>
        <w:t>Die kulturhistorische Einzigartigkeit des Kleinen Gleichbergs:</w:t>
      </w:r>
      <w:r w:rsidRPr="00B80720">
        <w:rPr>
          <w:rFonts w:ascii="Arial" w:hAnsi="Arial"/>
        </w:rPr>
        <w:t xml:space="preserve"> </w:t>
      </w:r>
    </w:p>
    <w:p w:rsidR="00206C21" w:rsidP="00716596" w:rsidRDefault="00EB5B98" w14:paraId="6C33A617" w14:textId="704915BD">
      <w:pPr>
        <w:pStyle w:val="Textbody"/>
        <w:spacing w:after="0"/>
        <w:ind w:left="-10"/>
        <w:rPr>
          <w:rFonts w:ascii="Arial" w:hAnsi="Arial"/>
        </w:rPr>
      </w:pPr>
      <w:r w:rsidRPr="00B80720">
        <w:rPr>
          <w:rFonts w:ascii="Arial" w:hAnsi="Arial"/>
        </w:rPr>
        <w:t xml:space="preserve">Das keltische Oppidum </w:t>
      </w:r>
      <w:proofErr w:type="spellStart"/>
      <w:r w:rsidRPr="00B80720">
        <w:rPr>
          <w:rFonts w:ascii="Arial" w:hAnsi="Arial"/>
        </w:rPr>
        <w:t>Steinsburg</w:t>
      </w:r>
      <w:proofErr w:type="spellEnd"/>
      <w:r w:rsidRPr="00B80720">
        <w:rPr>
          <w:rFonts w:ascii="Arial" w:hAnsi="Arial"/>
        </w:rPr>
        <w:t xml:space="preserve"> auf dem Kleinen Gleichberg ist das größte archäologische Bodendenkmal Deutschlands nördlich des Mains. Es handelt sich um die bedeutendste prähistorische Höhensiedlung Mitteldeutschlands aus der vorrömischen Eisenzeit. Das gesamte Gleichberggebiet bildet eine historisch und archäologisch unteilbare Einheit, deren visuelle Unversehrtheit untrennbar mit der historischen Identität Südthüringens verknüpft ist.</w:t>
      </w:r>
    </w:p>
    <w:p w:rsidRPr="00B80720" w:rsidR="00716596" w:rsidP="00716596" w:rsidRDefault="00716596" w14:paraId="69BB2371" w14:textId="77777777">
      <w:pPr>
        <w:pStyle w:val="Textbody"/>
        <w:spacing w:after="0"/>
        <w:ind w:left="-10"/>
        <w:rPr>
          <w:rFonts w:ascii="Arial" w:hAnsi="Arial"/>
        </w:rPr>
      </w:pPr>
    </w:p>
    <w:p w:rsidR="00716596" w:rsidP="00716596" w:rsidRDefault="00EB5B98" w14:paraId="5093C96F" w14:textId="77777777">
      <w:pPr>
        <w:pStyle w:val="Textbody"/>
        <w:numPr>
          <w:ilvl w:val="0"/>
          <w:numId w:val="5"/>
        </w:numPr>
        <w:spacing w:after="0"/>
        <w:ind w:left="284" w:hanging="294"/>
        <w:rPr>
          <w:rFonts w:ascii="Arial" w:hAnsi="Arial"/>
        </w:rPr>
      </w:pPr>
      <w:r w:rsidRPr="00B80720">
        <w:rPr>
          <w:rStyle w:val="StrongEmphasis"/>
          <w:rFonts w:ascii="Arial" w:hAnsi="Arial"/>
        </w:rPr>
        <w:t xml:space="preserve">Verletzung des gesetzlichen Umgebungsschutzes (§ 14 </w:t>
      </w:r>
      <w:proofErr w:type="spellStart"/>
      <w:r w:rsidRPr="00B80720">
        <w:rPr>
          <w:rStyle w:val="StrongEmphasis"/>
          <w:rFonts w:ascii="Arial" w:hAnsi="Arial"/>
        </w:rPr>
        <w:t>ThürDSchG</w:t>
      </w:r>
      <w:proofErr w:type="spellEnd"/>
      <w:r w:rsidRPr="00B80720">
        <w:rPr>
          <w:rStyle w:val="StrongEmphasis"/>
          <w:rFonts w:ascii="Arial" w:hAnsi="Arial"/>
        </w:rPr>
        <w:t>):</w:t>
      </w:r>
      <w:r w:rsidRPr="00B80720">
        <w:rPr>
          <w:rFonts w:ascii="Arial" w:hAnsi="Arial"/>
        </w:rPr>
        <w:t xml:space="preserve"> </w:t>
      </w:r>
    </w:p>
    <w:p w:rsidR="00206C21" w:rsidP="00716596" w:rsidRDefault="00EB5B98" w14:paraId="1477C043" w14:textId="3DC88499">
      <w:pPr>
        <w:pStyle w:val="Textbody"/>
        <w:spacing w:after="0"/>
        <w:ind w:left="-10"/>
        <w:rPr>
          <w:rFonts w:ascii="Arial" w:hAnsi="Arial"/>
        </w:rPr>
      </w:pPr>
      <w:r w:rsidRPr="00B80720">
        <w:rPr>
          <w:rFonts w:ascii="Arial" w:hAnsi="Arial"/>
        </w:rPr>
        <w:t>Gemäß § 14 des Thüringer Denkmalschutzgesetzes (</w:t>
      </w:r>
      <w:proofErr w:type="spellStart"/>
      <w:r w:rsidRPr="00B80720">
        <w:rPr>
          <w:rFonts w:ascii="Arial" w:hAnsi="Arial"/>
        </w:rPr>
        <w:t>ThürDSchG</w:t>
      </w:r>
      <w:proofErr w:type="spellEnd"/>
      <w:r w:rsidRPr="00B80720">
        <w:rPr>
          <w:rFonts w:ascii="Arial" w:hAnsi="Arial"/>
        </w:rPr>
        <w:t xml:space="preserve">) bedarf die Errichtung von Anlagen in der Umgebung eines Kulturdenkmals der Genehmigung, wenn sie geeignet ist, das Erscheinungsbild des Denkmals erheblich zu beeinträchtigen. Durch die enorme Dimension moderner Windkraftanlagen (Gesamthöhen bis zu 250 Meter) auf dem Breitberg (W29) sowie den angrenzenden Flächen W36 und W37 wird die historische Fern- und Sichtachse von und zu der Keltenfestung brutal durchbrochen. Werden die umgebenden Höhenzüge mit industriellen Großbauten besetzt, verliert das </w:t>
      </w:r>
      <w:r w:rsidRPr="00B80720">
        <w:rPr>
          <w:rFonts w:ascii="Arial" w:hAnsi="Arial"/>
        </w:rPr>
        <w:t xml:space="preserve">Bodendenkmal seinen kulturhistorischen Raumbezug und seine visuelle Dominanz. Dies </w:t>
      </w:r>
      <w:proofErr w:type="gramStart"/>
      <w:r w:rsidRPr="00B80720">
        <w:rPr>
          <w:rFonts w:ascii="Arial" w:hAnsi="Arial"/>
        </w:rPr>
        <w:t>stellt</w:t>
      </w:r>
      <w:proofErr w:type="gramEnd"/>
      <w:r w:rsidRPr="00B80720">
        <w:rPr>
          <w:rFonts w:ascii="Arial" w:hAnsi="Arial"/>
        </w:rPr>
        <w:t xml:space="preserve"> eine unheilbare, substanzielle Entstellung und Verunstaltung dar.</w:t>
      </w:r>
    </w:p>
    <w:p w:rsidRPr="00B80720" w:rsidR="00716596" w:rsidP="00716596" w:rsidRDefault="00716596" w14:paraId="2A34CA3A" w14:textId="77777777">
      <w:pPr>
        <w:pStyle w:val="Textbody"/>
        <w:spacing w:after="0"/>
        <w:ind w:left="-10"/>
        <w:rPr>
          <w:rFonts w:ascii="Arial" w:hAnsi="Arial"/>
        </w:rPr>
      </w:pPr>
    </w:p>
    <w:p w:rsidR="00716596" w:rsidP="00716596" w:rsidRDefault="00EB5B98" w14:paraId="05DA67DB" w14:textId="77777777">
      <w:pPr>
        <w:pStyle w:val="Textbody"/>
        <w:numPr>
          <w:ilvl w:val="0"/>
          <w:numId w:val="5"/>
        </w:numPr>
        <w:spacing w:after="0"/>
        <w:ind w:left="284" w:hanging="294"/>
        <w:rPr>
          <w:rFonts w:ascii="Arial" w:hAnsi="Arial"/>
        </w:rPr>
      </w:pPr>
      <w:r w:rsidRPr="00B80720">
        <w:rPr>
          <w:rStyle w:val="StrongEmphasis"/>
          <w:rFonts w:ascii="Arial" w:hAnsi="Arial"/>
        </w:rPr>
        <w:t xml:space="preserve">Missachtung des Erhaltungsgebots für historische Kulturlandschaften (§ 1 Abs. 4 </w:t>
      </w:r>
      <w:proofErr w:type="spellStart"/>
      <w:r w:rsidRPr="00B80720">
        <w:rPr>
          <w:rStyle w:val="StrongEmphasis"/>
          <w:rFonts w:ascii="Arial" w:hAnsi="Arial"/>
        </w:rPr>
        <w:t>ThürDSchG</w:t>
      </w:r>
      <w:proofErr w:type="spellEnd"/>
      <w:r w:rsidRPr="00B80720">
        <w:rPr>
          <w:rStyle w:val="StrongEmphasis"/>
          <w:rFonts w:ascii="Arial" w:hAnsi="Arial"/>
        </w:rPr>
        <w:t>):</w:t>
      </w:r>
      <w:r w:rsidRPr="00B80720">
        <w:rPr>
          <w:rFonts w:ascii="Arial" w:hAnsi="Arial"/>
        </w:rPr>
        <w:t xml:space="preserve"> </w:t>
      </w:r>
    </w:p>
    <w:p w:rsidRPr="00B80720" w:rsidR="00206C21" w:rsidP="00716596" w:rsidRDefault="00EB5B98" w14:paraId="51178036" w14:textId="1439BB7D">
      <w:pPr>
        <w:pStyle w:val="Textbody"/>
        <w:spacing w:after="0"/>
        <w:ind w:left="-10"/>
        <w:rPr>
          <w:rFonts w:ascii="Arial" w:hAnsi="Arial"/>
        </w:rPr>
      </w:pPr>
      <w:r w:rsidRPr="00B80720">
        <w:rPr>
          <w:rFonts w:ascii="Arial" w:hAnsi="Arial"/>
        </w:rPr>
        <w:t xml:space="preserve">Nach § 1 Abs. 4 </w:t>
      </w:r>
      <w:proofErr w:type="spellStart"/>
      <w:r w:rsidRPr="00B80720">
        <w:rPr>
          <w:rFonts w:ascii="Arial" w:hAnsi="Arial"/>
        </w:rPr>
        <w:t>ThürDSchG</w:t>
      </w:r>
      <w:proofErr w:type="spellEnd"/>
      <w:r w:rsidRPr="00B80720">
        <w:rPr>
          <w:rFonts w:ascii="Arial" w:hAnsi="Arial"/>
        </w:rPr>
        <w:t xml:space="preserve"> umfasst der Denkmalschutz explizit auch das historische Landschaftsbild und historisch gewachsene Kulturlandschaften. Die Errichtung eines gigantischen Windparks aus den Clustern W29, W36 und W37 deformiert den Charakter dieser geschützten Landschaft flächendeckend und degradiert ein jahrtausendealtes Kulturareal zu einer austauschbaren Industriezone.</w:t>
      </w:r>
    </w:p>
    <w:p w:rsidR="00716596" w:rsidP="00716596" w:rsidRDefault="00EB5B98" w14:paraId="680A605B" w14:textId="77777777">
      <w:pPr>
        <w:pStyle w:val="Textbody"/>
        <w:numPr>
          <w:ilvl w:val="0"/>
          <w:numId w:val="5"/>
        </w:numPr>
        <w:spacing w:after="0"/>
        <w:ind w:left="284" w:hanging="294"/>
        <w:rPr>
          <w:rFonts w:ascii="Arial" w:hAnsi="Arial"/>
        </w:rPr>
      </w:pPr>
      <w:r w:rsidRPr="00B80720">
        <w:rPr>
          <w:rStyle w:val="StrongEmphasis"/>
          <w:rFonts w:ascii="Arial" w:hAnsi="Arial"/>
        </w:rPr>
        <w:t xml:space="preserve">Verstoß gegen das bau- und naturschutzrechtliche Verunstaltungsverbot (§ 35 BauGB </w:t>
      </w:r>
      <w:proofErr w:type="spellStart"/>
      <w:r w:rsidRPr="00B80720">
        <w:rPr>
          <w:rStyle w:val="StrongEmphasis"/>
          <w:rFonts w:ascii="Arial" w:hAnsi="Arial"/>
        </w:rPr>
        <w:t>i.V.m</w:t>
      </w:r>
      <w:proofErr w:type="spellEnd"/>
      <w:r w:rsidRPr="00B80720">
        <w:rPr>
          <w:rStyle w:val="StrongEmphasis"/>
          <w:rFonts w:ascii="Arial" w:hAnsi="Arial"/>
        </w:rPr>
        <w:t>. § 1 Abs. 1 Nr. 4 BNatSchG):</w:t>
      </w:r>
      <w:r w:rsidRPr="00B80720">
        <w:rPr>
          <w:rFonts w:ascii="Arial" w:hAnsi="Arial"/>
        </w:rPr>
        <w:t xml:space="preserve"> </w:t>
      </w:r>
    </w:p>
    <w:p w:rsidRPr="00B80720" w:rsidR="00206C21" w:rsidP="00716596" w:rsidRDefault="00EB5B98" w14:paraId="0D9E8876" w14:textId="7295632B">
      <w:pPr>
        <w:pStyle w:val="Textbody"/>
        <w:spacing w:after="0"/>
        <w:ind w:left="-10"/>
        <w:rPr>
          <w:rFonts w:ascii="Arial" w:hAnsi="Arial"/>
        </w:rPr>
      </w:pPr>
      <w:r w:rsidRPr="00B80720">
        <w:rPr>
          <w:rFonts w:ascii="Arial" w:hAnsi="Arial"/>
        </w:rPr>
        <w:t xml:space="preserve">§ 35 Abs. 3 Satz 1 Nr. 5 BauGB bestimmt im Außenbereich, dass Vorhaben unzulässig </w:t>
      </w:r>
      <w:r w:rsidRPr="00B80720">
        <w:rPr>
          <w:rFonts w:ascii="Arial" w:hAnsi="Arial"/>
        </w:rPr>
        <w:lastRenderedPageBreak/>
        <w:t>sind, wenn sie das Landschaftsbild verunstalten. Durch die parallele Planung der drei Gebiete W29, W36 und W37 entsteht eine visuelle Riegelwirkung ("Umstellung"). Die historisch gewachsene Eigenart der Landschaft wird durch die technische Dominanz der rotierenden Anlagen komplett ausgelöscht. Dies widerspricht den Zielen des § 1 Abs. 1 Nr. 4 BNatSchG, wonach die Vielfalt, Eigenart und Schönheit von Natur und Landschaft dauerhaft zu sichern sind.</w:t>
      </w:r>
    </w:p>
    <w:p w:rsidRPr="00B80720" w:rsidR="00206C21" w:rsidRDefault="00206C21" w14:paraId="15E5DF7A" w14:textId="77777777">
      <w:pPr>
        <w:pStyle w:val="HorizontalLine"/>
        <w:spacing w:after="0"/>
        <w:rPr>
          <w:rFonts w:ascii="Arial" w:hAnsi="Arial"/>
          <w:sz w:val="24"/>
          <w:szCs w:val="24"/>
        </w:rPr>
      </w:pPr>
    </w:p>
    <w:p w:rsidRPr="00B80720" w:rsidR="00206C21" w:rsidRDefault="00EB5B98" w14:paraId="2EBAFF2C" w14:textId="77777777">
      <w:pPr>
        <w:pStyle w:val="Textbody"/>
        <w:spacing w:before="360" w:after="180"/>
        <w:rPr>
          <w:rFonts w:ascii="Arial" w:hAnsi="Arial"/>
          <w:b/>
        </w:rPr>
      </w:pPr>
      <w:r w:rsidRPr="00B80720">
        <w:rPr>
          <w:rFonts w:ascii="Arial" w:hAnsi="Arial"/>
          <w:b/>
        </w:rPr>
        <w:t>Fazit und Forderung</w:t>
      </w:r>
    </w:p>
    <w:p w:rsidRPr="00B80720" w:rsidR="00206C21" w:rsidRDefault="00EB5B98" w14:paraId="56DC0922" w14:textId="77777777">
      <w:pPr>
        <w:pStyle w:val="Textbody"/>
        <w:spacing w:after="0"/>
        <w:rPr>
          <w:rFonts w:ascii="Arial" w:hAnsi="Arial"/>
        </w:rPr>
      </w:pPr>
      <w:r w:rsidRPr="00B80720">
        <w:rPr>
          <w:rFonts w:ascii="Arial" w:hAnsi="Arial"/>
        </w:rPr>
        <w:t xml:space="preserve">Aufgrund der kumulierten und unbeherrschbaren Risiken für den Brandschutz, den Artenschutz, den Bodenschutz sowie den Denkmalschutz ist der Standort </w:t>
      </w:r>
      <w:r w:rsidRPr="00B80720">
        <w:rPr>
          <w:rStyle w:val="StrongEmphasis"/>
          <w:rFonts w:ascii="Arial" w:hAnsi="Arial"/>
        </w:rPr>
        <w:t>W29 Breitberg</w:t>
      </w:r>
      <w:r w:rsidRPr="00B80720">
        <w:rPr>
          <w:rFonts w:ascii="Arial" w:hAnsi="Arial"/>
        </w:rPr>
        <w:t xml:space="preserve"> für die Nutzung von Windenergie absolut ungeeignet. Die hier dargelegten Schutzgüter überwiegen das Interesse an einer Windkraftnutzung an diesem spezifischen Ort bei Weitem. Die Planung leidet an schwerwiegenden Abwägungsfehlern, da sie die realen topographischen, ökologischen und historischen Gegebenheiten missachtet.</w:t>
      </w:r>
    </w:p>
    <w:p w:rsidRPr="00B80720" w:rsidR="00206C21" w:rsidRDefault="00EB5B98" w14:paraId="52574880" w14:textId="77777777">
      <w:pPr>
        <w:pStyle w:val="Textbody"/>
        <w:spacing w:before="180" w:after="240"/>
        <w:rPr>
          <w:rFonts w:ascii="Arial" w:hAnsi="Arial"/>
        </w:rPr>
      </w:pPr>
      <w:r w:rsidRPr="00B80720">
        <w:rPr>
          <w:rFonts w:ascii="Arial" w:hAnsi="Arial"/>
        </w:rPr>
        <w:t>Ich fordere die Planungsbehörde daher auf, das Windvorranggebiet W29 Breitberg (sowie die korrespondierenden Flächen W36 und W37) vollständig und ersatzlos aus der Regionalplanung zu streichen.</w:t>
      </w:r>
    </w:p>
    <w:p w:rsidRPr="00B80720" w:rsidR="00206C21" w:rsidRDefault="00EB5B98" w14:paraId="79852698" w14:textId="77777777">
      <w:pPr>
        <w:pStyle w:val="Textbody"/>
        <w:spacing w:before="180" w:after="240"/>
        <w:rPr>
          <w:rFonts w:ascii="Arial" w:hAnsi="Arial"/>
        </w:rPr>
      </w:pPr>
      <w:r w:rsidRPr="00B80720">
        <w:rPr>
          <w:rFonts w:ascii="Arial" w:hAnsi="Arial"/>
        </w:rPr>
        <w:t>Mit freundlichen Grüßen,</w:t>
      </w:r>
    </w:p>
    <w:p w:rsidRPr="00B80720" w:rsidR="00206C21" w:rsidRDefault="00EB5B98" w14:paraId="04269C18" w14:textId="77777777">
      <w:pPr>
        <w:pStyle w:val="Textbody"/>
        <w:spacing w:after="0"/>
        <w:rPr>
          <w:rFonts w:ascii="Arial" w:hAnsi="Arial"/>
        </w:rPr>
      </w:pPr>
      <w:r w:rsidRPr="00B80720">
        <w:rPr>
          <w:rStyle w:val="Hervorhebung"/>
          <w:rFonts w:ascii="Arial" w:hAnsi="Arial"/>
        </w:rPr>
        <w:t>(Ihr Vorname und Nachname)</w:t>
      </w:r>
      <w:r w:rsidRPr="00B80720">
        <w:rPr>
          <w:rFonts w:ascii="Arial" w:hAnsi="Arial"/>
        </w:rPr>
        <w:br/>
      </w:r>
      <w:r w:rsidRPr="00B80720">
        <w:rPr>
          <w:rStyle w:val="Hervorhebung"/>
          <w:rFonts w:ascii="Arial" w:hAnsi="Arial"/>
        </w:rPr>
        <w:t>(Ihre Straße und Hausnummer)</w:t>
      </w:r>
      <w:r w:rsidRPr="00B80720">
        <w:rPr>
          <w:rFonts w:ascii="Arial" w:hAnsi="Arial"/>
        </w:rPr>
        <w:br/>
      </w:r>
      <w:r w:rsidRPr="00B80720">
        <w:rPr>
          <w:rStyle w:val="Hervorhebung"/>
          <w:rFonts w:ascii="Arial" w:hAnsi="Arial"/>
        </w:rPr>
        <w:t>(Ihre Postleitzahl und Wohnort)</w:t>
      </w:r>
    </w:p>
    <w:p w:rsidRPr="00B80720" w:rsidR="00206C21" w:rsidRDefault="00EB5B98" w14:paraId="583EF665" w14:textId="77777777">
      <w:pPr>
        <w:pStyle w:val="Textbody"/>
        <w:spacing w:after="0"/>
        <w:rPr>
          <w:rFonts w:ascii="Arial" w:hAnsi="Arial"/>
        </w:rPr>
      </w:pPr>
      <w:r w:rsidRPr="00B80720">
        <w:rPr>
          <w:rStyle w:val="Hervorhebung"/>
          <w:rFonts w:ascii="Arial" w:hAnsi="Arial"/>
        </w:rPr>
        <w:t>(Ort, Datum)</w:t>
      </w:r>
    </w:p>
    <w:p w:rsidR="00206C21" w:rsidP="003A1ACB" w:rsidRDefault="00206C21" w14:paraId="606147BE" w14:textId="77777777"/>
    <w:sectPr w:rsidR="00206C21">
      <w:type w:val="continuous"/>
      <w:pgSz w:w="11906" w:h="16838" w:orient="portrait"/>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5B98" w:rsidRDefault="00EB5B98" w14:paraId="7E2E4A4D" w14:textId="77777777">
      <w:r>
        <w:separator/>
      </w:r>
    </w:p>
  </w:endnote>
  <w:endnote w:type="continuationSeparator" w:id="0">
    <w:p w:rsidR="00EB5B98" w:rsidRDefault="00EB5B98" w14:paraId="0A5D242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5B98" w:rsidRDefault="00EB5B98" w14:paraId="10A5B203" w14:textId="77777777">
      <w:r>
        <w:rPr>
          <w:color w:val="000000"/>
        </w:rPr>
        <w:separator/>
      </w:r>
    </w:p>
  </w:footnote>
  <w:footnote w:type="continuationSeparator" w:id="0">
    <w:p w:rsidR="00EB5B98" w:rsidRDefault="00EB5B98" w14:paraId="1829CFA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7DFD"/>
    <w:multiLevelType w:val="multilevel"/>
    <w:tmpl w:val="3E40A924"/>
    <w:lvl w:ilvl="0">
      <w:numFmt w:val="bullet"/>
      <w:lvlText w:val="•"/>
      <w:lvlJc w:val="left"/>
      <w:pPr>
        <w:ind w:left="283" w:hanging="283"/>
      </w:pPr>
      <w:rPr>
        <w:rFonts w:ascii="OpenSymbol" w:hAnsi="OpenSymbol" w:eastAsia="OpenSymbol" w:cs="OpenSymbol"/>
      </w:rPr>
    </w:lvl>
    <w:lvl w:ilvl="1">
      <w:numFmt w:val="bullet"/>
      <w:lvlText w:val="•"/>
      <w:lvlJc w:val="left"/>
      <w:pPr>
        <w:ind w:left="1414" w:hanging="283"/>
      </w:pPr>
      <w:rPr>
        <w:rFonts w:ascii="OpenSymbol" w:hAnsi="OpenSymbol" w:eastAsia="OpenSymbol" w:cs="OpenSymbol"/>
      </w:rPr>
    </w:lvl>
    <w:lvl w:ilvl="2">
      <w:numFmt w:val="bullet"/>
      <w:lvlText w:val="•"/>
      <w:lvlJc w:val="left"/>
      <w:pPr>
        <w:ind w:left="2121" w:hanging="283"/>
      </w:pPr>
      <w:rPr>
        <w:rFonts w:ascii="OpenSymbol" w:hAnsi="OpenSymbol" w:eastAsia="OpenSymbol" w:cs="OpenSymbol"/>
      </w:rPr>
    </w:lvl>
    <w:lvl w:ilvl="3">
      <w:numFmt w:val="bullet"/>
      <w:lvlText w:val="•"/>
      <w:lvlJc w:val="left"/>
      <w:pPr>
        <w:ind w:left="2828" w:hanging="283"/>
      </w:pPr>
      <w:rPr>
        <w:rFonts w:ascii="OpenSymbol" w:hAnsi="OpenSymbol" w:eastAsia="OpenSymbol" w:cs="OpenSymbol"/>
      </w:rPr>
    </w:lvl>
    <w:lvl w:ilvl="4">
      <w:numFmt w:val="bullet"/>
      <w:lvlText w:val="•"/>
      <w:lvlJc w:val="left"/>
      <w:pPr>
        <w:ind w:left="3535" w:hanging="283"/>
      </w:pPr>
      <w:rPr>
        <w:rFonts w:ascii="OpenSymbol" w:hAnsi="OpenSymbol" w:eastAsia="OpenSymbol" w:cs="OpenSymbol"/>
      </w:rPr>
    </w:lvl>
    <w:lvl w:ilvl="5">
      <w:numFmt w:val="bullet"/>
      <w:lvlText w:val="•"/>
      <w:lvlJc w:val="left"/>
      <w:pPr>
        <w:ind w:left="4242" w:hanging="283"/>
      </w:pPr>
      <w:rPr>
        <w:rFonts w:ascii="OpenSymbol" w:hAnsi="OpenSymbol" w:eastAsia="OpenSymbol" w:cs="OpenSymbol"/>
      </w:rPr>
    </w:lvl>
    <w:lvl w:ilvl="6">
      <w:numFmt w:val="bullet"/>
      <w:lvlText w:val="•"/>
      <w:lvlJc w:val="left"/>
      <w:pPr>
        <w:ind w:left="4949" w:hanging="283"/>
      </w:pPr>
      <w:rPr>
        <w:rFonts w:ascii="OpenSymbol" w:hAnsi="OpenSymbol" w:eastAsia="OpenSymbol" w:cs="OpenSymbol"/>
      </w:rPr>
    </w:lvl>
    <w:lvl w:ilvl="7">
      <w:numFmt w:val="bullet"/>
      <w:lvlText w:val="•"/>
      <w:lvlJc w:val="left"/>
      <w:pPr>
        <w:ind w:left="5656" w:hanging="283"/>
      </w:pPr>
      <w:rPr>
        <w:rFonts w:ascii="OpenSymbol" w:hAnsi="OpenSymbol" w:eastAsia="OpenSymbol" w:cs="OpenSymbol"/>
      </w:rPr>
    </w:lvl>
    <w:lvl w:ilvl="8">
      <w:numFmt w:val="bullet"/>
      <w:lvlText w:val="•"/>
      <w:lvlJc w:val="left"/>
      <w:pPr>
        <w:ind w:left="6363" w:hanging="283"/>
      </w:pPr>
      <w:rPr>
        <w:rFonts w:ascii="OpenSymbol" w:hAnsi="OpenSymbol" w:eastAsia="OpenSymbol" w:cs="OpenSymbol"/>
      </w:rPr>
    </w:lvl>
  </w:abstractNum>
  <w:abstractNum w:abstractNumId="1" w15:restartNumberingAfterBreak="0">
    <w:nsid w:val="0E6C6E1C"/>
    <w:multiLevelType w:val="multilevel"/>
    <w:tmpl w:val="C9FC7540"/>
    <w:lvl w:ilvl="0">
      <w:numFmt w:val="bullet"/>
      <w:lvlText w:val="•"/>
      <w:lvlJc w:val="left"/>
      <w:pPr>
        <w:ind w:left="283" w:hanging="283"/>
      </w:pPr>
      <w:rPr>
        <w:rFonts w:ascii="OpenSymbol" w:hAnsi="OpenSymbol" w:eastAsia="OpenSymbol" w:cs="OpenSymbol"/>
      </w:rPr>
    </w:lvl>
    <w:lvl w:ilvl="1">
      <w:numFmt w:val="bullet"/>
      <w:lvlText w:val="•"/>
      <w:lvlJc w:val="left"/>
      <w:pPr>
        <w:ind w:left="1414" w:hanging="283"/>
      </w:pPr>
      <w:rPr>
        <w:rFonts w:ascii="OpenSymbol" w:hAnsi="OpenSymbol" w:eastAsia="OpenSymbol" w:cs="OpenSymbol"/>
      </w:rPr>
    </w:lvl>
    <w:lvl w:ilvl="2">
      <w:numFmt w:val="bullet"/>
      <w:lvlText w:val="•"/>
      <w:lvlJc w:val="left"/>
      <w:pPr>
        <w:ind w:left="2121" w:hanging="283"/>
      </w:pPr>
      <w:rPr>
        <w:rFonts w:ascii="OpenSymbol" w:hAnsi="OpenSymbol" w:eastAsia="OpenSymbol" w:cs="OpenSymbol"/>
      </w:rPr>
    </w:lvl>
    <w:lvl w:ilvl="3">
      <w:numFmt w:val="bullet"/>
      <w:lvlText w:val="•"/>
      <w:lvlJc w:val="left"/>
      <w:pPr>
        <w:ind w:left="2828" w:hanging="283"/>
      </w:pPr>
      <w:rPr>
        <w:rFonts w:ascii="OpenSymbol" w:hAnsi="OpenSymbol" w:eastAsia="OpenSymbol" w:cs="OpenSymbol"/>
      </w:rPr>
    </w:lvl>
    <w:lvl w:ilvl="4">
      <w:numFmt w:val="bullet"/>
      <w:lvlText w:val="•"/>
      <w:lvlJc w:val="left"/>
      <w:pPr>
        <w:ind w:left="3535" w:hanging="283"/>
      </w:pPr>
      <w:rPr>
        <w:rFonts w:ascii="OpenSymbol" w:hAnsi="OpenSymbol" w:eastAsia="OpenSymbol" w:cs="OpenSymbol"/>
      </w:rPr>
    </w:lvl>
    <w:lvl w:ilvl="5">
      <w:numFmt w:val="bullet"/>
      <w:lvlText w:val="•"/>
      <w:lvlJc w:val="left"/>
      <w:pPr>
        <w:ind w:left="4242" w:hanging="283"/>
      </w:pPr>
      <w:rPr>
        <w:rFonts w:ascii="OpenSymbol" w:hAnsi="OpenSymbol" w:eastAsia="OpenSymbol" w:cs="OpenSymbol"/>
      </w:rPr>
    </w:lvl>
    <w:lvl w:ilvl="6">
      <w:numFmt w:val="bullet"/>
      <w:lvlText w:val="•"/>
      <w:lvlJc w:val="left"/>
      <w:pPr>
        <w:ind w:left="4949" w:hanging="283"/>
      </w:pPr>
      <w:rPr>
        <w:rFonts w:ascii="OpenSymbol" w:hAnsi="OpenSymbol" w:eastAsia="OpenSymbol" w:cs="OpenSymbol"/>
      </w:rPr>
    </w:lvl>
    <w:lvl w:ilvl="7">
      <w:numFmt w:val="bullet"/>
      <w:lvlText w:val="•"/>
      <w:lvlJc w:val="left"/>
      <w:pPr>
        <w:ind w:left="5656" w:hanging="283"/>
      </w:pPr>
      <w:rPr>
        <w:rFonts w:ascii="OpenSymbol" w:hAnsi="OpenSymbol" w:eastAsia="OpenSymbol" w:cs="OpenSymbol"/>
      </w:rPr>
    </w:lvl>
    <w:lvl w:ilvl="8">
      <w:numFmt w:val="bullet"/>
      <w:lvlText w:val="•"/>
      <w:lvlJc w:val="left"/>
      <w:pPr>
        <w:ind w:left="6363" w:hanging="283"/>
      </w:pPr>
      <w:rPr>
        <w:rFonts w:ascii="OpenSymbol" w:hAnsi="OpenSymbol" w:eastAsia="OpenSymbol" w:cs="OpenSymbol"/>
      </w:rPr>
    </w:lvl>
  </w:abstractNum>
  <w:abstractNum w:abstractNumId="2" w15:restartNumberingAfterBreak="0">
    <w:nsid w:val="36791190"/>
    <w:multiLevelType w:val="multilevel"/>
    <w:tmpl w:val="D73EEC3A"/>
    <w:lvl w:ilvl="0">
      <w:numFmt w:val="bullet"/>
      <w:lvlText w:val="•"/>
      <w:lvlJc w:val="left"/>
      <w:pPr>
        <w:ind w:left="283" w:hanging="283"/>
      </w:pPr>
      <w:rPr>
        <w:rFonts w:ascii="OpenSymbol" w:hAnsi="OpenSymbol" w:eastAsia="OpenSymbol" w:cs="OpenSymbol"/>
      </w:rPr>
    </w:lvl>
    <w:lvl w:ilvl="1">
      <w:start w:val="1"/>
      <w:numFmt w:val="decimal"/>
      <w:lvlText w:val="%2."/>
      <w:lvlJc w:val="left"/>
      <w:pPr>
        <w:ind w:left="283"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 w15:restartNumberingAfterBreak="0">
    <w:nsid w:val="587836BE"/>
    <w:multiLevelType w:val="hybridMultilevel"/>
    <w:tmpl w:val="CAEE828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7CEE0853"/>
    <w:multiLevelType w:val="multilevel"/>
    <w:tmpl w:val="12AEEC48"/>
    <w:lvl w:ilvl="0">
      <w:numFmt w:val="bullet"/>
      <w:lvlText w:val="•"/>
      <w:lvlJc w:val="left"/>
      <w:pPr>
        <w:ind w:left="283" w:hanging="283"/>
      </w:pPr>
      <w:rPr>
        <w:rFonts w:ascii="OpenSymbol" w:hAnsi="OpenSymbol" w:eastAsia="OpenSymbol" w:cs="OpenSymbol"/>
      </w:rPr>
    </w:lvl>
    <w:lvl w:ilvl="1">
      <w:numFmt w:val="bullet"/>
      <w:lvlText w:val="•"/>
      <w:lvlJc w:val="left"/>
      <w:pPr>
        <w:ind w:left="1414" w:hanging="283"/>
      </w:pPr>
      <w:rPr>
        <w:rFonts w:ascii="OpenSymbol" w:hAnsi="OpenSymbol" w:eastAsia="OpenSymbol" w:cs="OpenSymbol"/>
      </w:rPr>
    </w:lvl>
    <w:lvl w:ilvl="2">
      <w:numFmt w:val="bullet"/>
      <w:lvlText w:val="•"/>
      <w:lvlJc w:val="left"/>
      <w:pPr>
        <w:ind w:left="2121" w:hanging="283"/>
      </w:pPr>
      <w:rPr>
        <w:rFonts w:ascii="OpenSymbol" w:hAnsi="OpenSymbol" w:eastAsia="OpenSymbol" w:cs="OpenSymbol"/>
      </w:rPr>
    </w:lvl>
    <w:lvl w:ilvl="3">
      <w:numFmt w:val="bullet"/>
      <w:lvlText w:val="•"/>
      <w:lvlJc w:val="left"/>
      <w:pPr>
        <w:ind w:left="2828" w:hanging="283"/>
      </w:pPr>
      <w:rPr>
        <w:rFonts w:ascii="OpenSymbol" w:hAnsi="OpenSymbol" w:eastAsia="OpenSymbol" w:cs="OpenSymbol"/>
      </w:rPr>
    </w:lvl>
    <w:lvl w:ilvl="4">
      <w:numFmt w:val="bullet"/>
      <w:lvlText w:val="•"/>
      <w:lvlJc w:val="left"/>
      <w:pPr>
        <w:ind w:left="3535" w:hanging="283"/>
      </w:pPr>
      <w:rPr>
        <w:rFonts w:ascii="OpenSymbol" w:hAnsi="OpenSymbol" w:eastAsia="OpenSymbol" w:cs="OpenSymbol"/>
      </w:rPr>
    </w:lvl>
    <w:lvl w:ilvl="5">
      <w:numFmt w:val="bullet"/>
      <w:lvlText w:val="•"/>
      <w:lvlJc w:val="left"/>
      <w:pPr>
        <w:ind w:left="4242" w:hanging="283"/>
      </w:pPr>
      <w:rPr>
        <w:rFonts w:ascii="OpenSymbol" w:hAnsi="OpenSymbol" w:eastAsia="OpenSymbol" w:cs="OpenSymbol"/>
      </w:rPr>
    </w:lvl>
    <w:lvl w:ilvl="6">
      <w:numFmt w:val="bullet"/>
      <w:lvlText w:val="•"/>
      <w:lvlJc w:val="left"/>
      <w:pPr>
        <w:ind w:left="4949" w:hanging="283"/>
      </w:pPr>
      <w:rPr>
        <w:rFonts w:ascii="OpenSymbol" w:hAnsi="OpenSymbol" w:eastAsia="OpenSymbol" w:cs="OpenSymbol"/>
      </w:rPr>
    </w:lvl>
    <w:lvl w:ilvl="7">
      <w:numFmt w:val="bullet"/>
      <w:lvlText w:val="•"/>
      <w:lvlJc w:val="left"/>
      <w:pPr>
        <w:ind w:left="5656" w:hanging="283"/>
      </w:pPr>
      <w:rPr>
        <w:rFonts w:ascii="OpenSymbol" w:hAnsi="OpenSymbol" w:eastAsia="OpenSymbol" w:cs="OpenSymbol"/>
      </w:rPr>
    </w:lvl>
    <w:lvl w:ilvl="8">
      <w:numFmt w:val="bullet"/>
      <w:lvlText w:val="•"/>
      <w:lvlJc w:val="left"/>
      <w:pPr>
        <w:ind w:left="6363" w:hanging="283"/>
      </w:pPr>
      <w:rPr>
        <w:rFonts w:ascii="OpenSymbol" w:hAnsi="OpenSymbol" w:eastAsia="OpenSymbol" w:cs="OpenSymbol"/>
      </w:rPr>
    </w:lvl>
  </w:abstractNum>
  <w:num w:numId="1" w16cid:durableId="1358890002">
    <w:abstractNumId w:val="1"/>
  </w:num>
  <w:num w:numId="2" w16cid:durableId="1002968769">
    <w:abstractNumId w:val="0"/>
  </w:num>
  <w:num w:numId="3" w16cid:durableId="226427034">
    <w:abstractNumId w:val="2"/>
  </w:num>
  <w:num w:numId="4" w16cid:durableId="613055345">
    <w:abstractNumId w:val="4"/>
  </w:num>
  <w:num w:numId="5" w16cid:durableId="2040348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dirty"/>
  <w:trackRevisions w:val="false"/>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06C21"/>
    <w:rsid w:val="00204852"/>
    <w:rsid w:val="00206C21"/>
    <w:rsid w:val="003A1ACB"/>
    <w:rsid w:val="0057757D"/>
    <w:rsid w:val="00716596"/>
    <w:rsid w:val="007726B7"/>
    <w:rsid w:val="00B80720"/>
    <w:rsid w:val="00EB4C11"/>
    <w:rsid w:val="00EB5B98"/>
    <w:rsid w:val="288C9E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47155"/>
  <w15:docId w15:val="{37A99785-64D1-49DA-AA55-FF18AD3F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Arial"/>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Heading" w:customStyle="1">
    <w:name w:val="Heading"/>
    <w:basedOn w:val="Standard"/>
    <w:next w:val="Textbody"/>
    <w:pPr>
      <w:keepNext/>
      <w:spacing w:before="240" w:after="120"/>
    </w:pPr>
    <w:rPr>
      <w:rFonts w:ascii="Arial" w:hAnsi="Arial" w:eastAsia="Microsoft YaHei"/>
      <w:sz w:val="28"/>
      <w:szCs w:val="28"/>
    </w:rPr>
  </w:style>
  <w:style w:type="paragraph" w:styleId="Textbody" w:customStyle="1">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styleId="Index" w:customStyle="1">
    <w:name w:val="Index"/>
    <w:basedOn w:val="Standard"/>
    <w:pPr>
      <w:suppressLineNumbers/>
    </w:pPr>
  </w:style>
  <w:style w:type="paragraph" w:styleId="HorizontalLine" w:customStyle="1">
    <w:name w:val="Horizontal Line"/>
    <w:basedOn w:val="Standard"/>
    <w:next w:val="Textbody"/>
    <w:pPr>
      <w:suppressLineNumbers/>
      <w:spacing w:after="283"/>
    </w:pPr>
    <w:rPr>
      <w:sz w:val="12"/>
      <w:szCs w:val="12"/>
    </w:rPr>
  </w:style>
  <w:style w:type="character" w:styleId="StrongEmphasis" w:customStyle="1">
    <w:name w:val="Strong Emphasis"/>
    <w:rPr>
      <w:b/>
      <w:bCs/>
    </w:rPr>
  </w:style>
  <w:style w:type="character" w:styleId="Hervorhebung">
    <w:name w:val="Emphasis"/>
    <w:rPr>
      <w:i/>
      <w:iCs/>
    </w:rPr>
  </w:style>
  <w:style w:type="character" w:styleId="BulletSymbols" w:customStyle="1">
    <w:name w:val="Bullet Symbols"/>
    <w:rPr>
      <w:rFonts w:ascii="OpenSymbol" w:hAnsi="OpenSymbol" w:eastAsia="OpenSymbol" w:cs="OpenSymbol"/>
    </w:rPr>
  </w:style>
  <w:style w:type="character" w:styleId="NumberingSymbols" w:customStyle="1">
    <w:name w:val="Numbering Symbols"/>
  </w:style>
  <w:style w:type="character" w:styleId="Internetlink" w:customStyle="1">
    <w:name w:val="Internet link"/>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00DED23685F14B9C132610DF291B0F" ma:contentTypeVersion="11" ma:contentTypeDescription="Ein neues Dokument erstellen." ma:contentTypeScope="" ma:versionID="c141c5275f54e503a63f9759fbfca59d">
  <xsd:schema xmlns:xsd="http://www.w3.org/2001/XMLSchema" xmlns:xs="http://www.w3.org/2001/XMLSchema" xmlns:p="http://schemas.microsoft.com/office/2006/metadata/properties" xmlns:ns2="52ebf2de-9972-4880-9d44-084638d12843" xmlns:ns3="0e9a326f-034f-43e4-a828-d6888125cf76" targetNamespace="http://schemas.microsoft.com/office/2006/metadata/properties" ma:root="true" ma:fieldsID="df20cb438b3e282898bd32a3123ddd6a" ns2:_="" ns3:_="">
    <xsd:import namespace="52ebf2de-9972-4880-9d44-084638d12843"/>
    <xsd:import namespace="0e9a326f-034f-43e4-a828-d6888125cf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bf2de-9972-4880-9d44-084638d12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82228e0f-8919-413d-bd71-b5fa06eefa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9a326f-034f-43e4-a828-d6888125cf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c6c437-b580-4534-8778-856d614859c9}" ma:internalName="TaxCatchAll" ma:showField="CatchAllData" ma:web="0e9a326f-034f-43e4-a828-d6888125cf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ebf2de-9972-4880-9d44-084638d12843">
      <Terms xmlns="http://schemas.microsoft.com/office/infopath/2007/PartnerControls"/>
    </lcf76f155ced4ddcb4097134ff3c332f>
    <TaxCatchAll xmlns="0e9a326f-034f-43e4-a828-d6888125cf76" xsi:nil="true"/>
  </documentManagement>
</p:properties>
</file>

<file path=customXml/itemProps1.xml><?xml version="1.0" encoding="utf-8"?>
<ds:datastoreItem xmlns:ds="http://schemas.openxmlformats.org/officeDocument/2006/customXml" ds:itemID="{2CFCB893-049D-4DC4-B222-446019A12681}"/>
</file>

<file path=customXml/itemProps2.xml><?xml version="1.0" encoding="utf-8"?>
<ds:datastoreItem xmlns:ds="http://schemas.openxmlformats.org/officeDocument/2006/customXml" ds:itemID="{28F9E091-1A55-4B53-A677-9F3F8DD3AA7D}"/>
</file>

<file path=customXml/itemProps3.xml><?xml version="1.0" encoding="utf-8"?>
<ds:datastoreItem xmlns:ds="http://schemas.openxmlformats.org/officeDocument/2006/customXml" ds:itemID="{091138D3-C787-4306-9425-E23DA3BC13A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Torsten Maul</dc:creator>
  <cp:lastModifiedBy>Torsten Maul</cp:lastModifiedBy>
  <cp:revision>5</cp:revision>
  <dcterms:created xsi:type="dcterms:W3CDTF">2026-06-21T17:38:00Z</dcterms:created>
  <dcterms:modified xsi:type="dcterms:W3CDTF">2026-07-02T18:23:03Z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0x0101005B00DED23685F14B9C132610DF291B0F</vt:lpwstr>
  </property>
</Properties>
</file>